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6CE75" w14:textId="77777777" w:rsidR="00FE5FE1" w:rsidRPr="00D2027A" w:rsidRDefault="00FE5FE1" w:rsidP="00FE5FE1">
      <w:pPr>
        <w:pStyle w:val="Title4"/>
        <w:rPr>
          <w:lang w:val="es-ES"/>
        </w:rPr>
      </w:pPr>
      <w:r w:rsidRPr="00D2027A">
        <w:rPr>
          <w:lang w:val="es-ES"/>
        </w:rPr>
        <w:t xml:space="preserve">Decisiones de anteriores CMR relativas a la aplicación </w:t>
      </w:r>
      <w:r w:rsidRPr="00D2027A">
        <w:rPr>
          <w:lang w:val="es-ES"/>
        </w:rPr>
        <w:br/>
        <w:t>del Reglamento de Radiocomunicaciones</w:t>
      </w:r>
    </w:p>
    <w:p w14:paraId="5EBB2B3B" w14:textId="4C36C7F3" w:rsidR="00FE5FE1" w:rsidRPr="00D2027A" w:rsidRDefault="00FE5FE1" w:rsidP="00967792">
      <w:pPr>
        <w:pStyle w:val="Normalaftertitle0"/>
        <w:rPr>
          <w:lang w:val="es-ES" w:eastAsia="zh-CN"/>
        </w:rPr>
      </w:pPr>
      <w:r w:rsidRPr="00D2027A">
        <w:rPr>
          <w:lang w:val="es-ES" w:eastAsia="zh-CN"/>
        </w:rPr>
        <w:t xml:space="preserve">Las deliberaciones en las últimas reuniones de la Junta </w:t>
      </w:r>
      <w:r w:rsidR="00D66897" w:rsidRPr="00D2027A">
        <w:rPr>
          <w:lang w:val="es-ES" w:eastAsia="zh-CN"/>
        </w:rPr>
        <w:t xml:space="preserve">del Reglamento de Radiocomunicaciones </w:t>
      </w:r>
      <w:r w:rsidRPr="00D2027A">
        <w:rPr>
          <w:lang w:val="es-ES" w:eastAsia="zh-CN"/>
        </w:rPr>
        <w:t>han puesto de relieve la importancia de las decisiones adoptadas por las Plenarias de anteriores Conferencias Mundiales de Radiocomunicaciones que pueden influir en la aplicación del Reglamento de Radiocomunicaciones</w:t>
      </w:r>
      <w:r w:rsidR="00DA756E" w:rsidRPr="00D2027A">
        <w:rPr>
          <w:lang w:val="es-ES" w:eastAsia="zh-CN"/>
        </w:rPr>
        <w:t xml:space="preserve"> (RR)</w:t>
      </w:r>
      <w:r w:rsidRPr="00D2027A">
        <w:rPr>
          <w:lang w:val="es-ES" w:eastAsia="zh-CN"/>
        </w:rPr>
        <w:t>.</w:t>
      </w:r>
    </w:p>
    <w:p w14:paraId="4D765046" w14:textId="6B2AC9A4" w:rsidR="00FE5FE1" w:rsidRPr="00D2027A" w:rsidRDefault="00DA756E" w:rsidP="00967792">
      <w:pPr>
        <w:rPr>
          <w:lang w:val="es-ES" w:eastAsia="zh-CN"/>
        </w:rPr>
      </w:pPr>
      <w:r w:rsidRPr="00D2027A">
        <w:rPr>
          <w:lang w:val="es-ES" w:eastAsia="zh-CN"/>
        </w:rPr>
        <w:t xml:space="preserve">Desde la CMR-95 se han adoptado tales decisiones en el marco de las Conferencias Mundiales de Radiocomunicaciones. La Oficina recopiló dichas decisiones poco después del final de cada Conferencia a partir de la CMR-12 (véanse las Cartas Circulares </w:t>
      </w:r>
      <w:hyperlink r:id="rId8" w:history="1">
        <w:r w:rsidRPr="00967792">
          <w:rPr>
            <w:rStyle w:val="Hyperlink"/>
            <w:szCs w:val="24"/>
            <w:lang w:val="es-ES" w:eastAsia="zh-CN"/>
          </w:rPr>
          <w:t>CR/333</w:t>
        </w:r>
      </w:hyperlink>
      <w:r w:rsidRPr="00D2027A">
        <w:rPr>
          <w:lang w:val="es-ES" w:eastAsia="zh-CN"/>
        </w:rPr>
        <w:t xml:space="preserve">, de 2 de mayo de 2012 (decisiones de la CMR-12), </w:t>
      </w:r>
      <w:hyperlink r:id="rId9" w:history="1">
        <w:r w:rsidRPr="00967792">
          <w:rPr>
            <w:rStyle w:val="Hyperlink"/>
            <w:szCs w:val="24"/>
            <w:lang w:val="es-ES" w:eastAsia="zh-CN"/>
          </w:rPr>
          <w:t>CR/389</w:t>
        </w:r>
      </w:hyperlink>
      <w:r w:rsidRPr="00D2027A">
        <w:rPr>
          <w:lang w:val="es-ES" w:eastAsia="zh-CN"/>
        </w:rPr>
        <w:t xml:space="preserve">, de 29 de enero de 2016 (decisiones de la CMR-15) y </w:t>
      </w:r>
      <w:hyperlink r:id="rId10" w:history="1">
        <w:r w:rsidRPr="00967792">
          <w:rPr>
            <w:rStyle w:val="Hyperlink"/>
            <w:szCs w:val="24"/>
            <w:lang w:val="es-ES" w:eastAsia="zh-CN"/>
          </w:rPr>
          <w:t>CR/456</w:t>
        </w:r>
      </w:hyperlink>
      <w:r w:rsidRPr="00D2027A">
        <w:rPr>
          <w:lang w:val="es-ES" w:eastAsia="zh-CN"/>
        </w:rPr>
        <w:t>, de 6 de marzo de 2020 (decisiones de la CMR-19)). La Junta decidió reflejar esas decisiones como notas en el Reglamento de Procedimiento y/o confirmó su adecuada aplicación</w:t>
      </w:r>
      <w:r w:rsidR="00FE5FE1" w:rsidRPr="00D2027A">
        <w:rPr>
          <w:lang w:val="es-ES" w:eastAsia="zh-CN"/>
        </w:rPr>
        <w:t>.</w:t>
      </w:r>
    </w:p>
    <w:p w14:paraId="4EF25F1A" w14:textId="08B62024" w:rsidR="00FE5FE1" w:rsidRPr="00D2027A" w:rsidRDefault="00FE5FE1" w:rsidP="00967792">
      <w:pPr>
        <w:rPr>
          <w:lang w:val="es-ES" w:eastAsia="zh-CN"/>
        </w:rPr>
      </w:pPr>
      <w:r w:rsidRPr="00D2027A">
        <w:rPr>
          <w:lang w:val="es-ES" w:eastAsia="zh-CN"/>
        </w:rPr>
        <w:t xml:space="preserve">A tal efecto, en los cuadros que figuran a continuación se somete a la consideración de la Junta un compendio de esas </w:t>
      </w:r>
      <w:r w:rsidR="00494A48" w:rsidRPr="00D2027A">
        <w:rPr>
          <w:lang w:val="es-ES" w:eastAsia="zh-CN"/>
        </w:rPr>
        <w:t xml:space="preserve">decisiones </w:t>
      </w:r>
      <w:r w:rsidRPr="00D2027A">
        <w:rPr>
          <w:lang w:val="es-ES" w:eastAsia="zh-CN"/>
        </w:rPr>
        <w:t>desde 1995.</w:t>
      </w:r>
    </w:p>
    <w:p w14:paraId="433741D6" w14:textId="77777777" w:rsidR="00FE5FE1" w:rsidRPr="00D2027A" w:rsidRDefault="00FE5FE1" w:rsidP="00967792">
      <w:pPr>
        <w:rPr>
          <w:lang w:val="es-ES" w:eastAsia="zh-CN"/>
        </w:rPr>
      </w:pPr>
      <w:r w:rsidRPr="00D2027A">
        <w:rPr>
          <w:lang w:val="es-ES" w:eastAsia="zh-CN"/>
        </w:rPr>
        <w:t>Las decisiones de anteriores CMR se pueden clasificar, en general, del modo siguiente:</w:t>
      </w:r>
    </w:p>
    <w:p w14:paraId="39E57CF8" w14:textId="77777777" w:rsidR="00FE5FE1" w:rsidRPr="00967792" w:rsidRDefault="00FE5FE1" w:rsidP="00967792">
      <w:pPr>
        <w:pStyle w:val="enumlev1"/>
      </w:pPr>
      <w:r w:rsidRPr="00967792">
        <w:t>•</w:t>
      </w:r>
      <w:r w:rsidRPr="00967792">
        <w:tab/>
        <w:t>Aprobación de la prórroga del plazo reglamentario de la fecha notificada de puesta en servicio de asignaciones de frecuencias a redes de satélite o de la fecha en que las asignaciones suspendidas deben ponerse de nuevo en servicio regular; todas estas decisiones tienen la aprobación unánime de las conferencias pertinentes y se tomaron con el acuerdo de todas las partes interesadas.</w:t>
      </w:r>
    </w:p>
    <w:p w14:paraId="33F801D9" w14:textId="77777777" w:rsidR="00FE5FE1" w:rsidRPr="00967792" w:rsidRDefault="00FE5FE1" w:rsidP="00967792">
      <w:pPr>
        <w:pStyle w:val="enumlev1"/>
      </w:pPr>
      <w:r w:rsidRPr="00967792">
        <w:t>•</w:t>
      </w:r>
      <w:r w:rsidRPr="00967792">
        <w:tab/>
        <w:t xml:space="preserve">Decisiones </w:t>
      </w:r>
      <w:r w:rsidRPr="003B320A">
        <w:rPr>
          <w:i/>
          <w:iCs/>
        </w:rPr>
        <w:t>ad hoc</w:t>
      </w:r>
      <w:r w:rsidRPr="00967792">
        <w:t xml:space="preserve"> de carácter transitorio; todas estas decisiones se han aplicado debidamente.</w:t>
      </w:r>
    </w:p>
    <w:p w14:paraId="4C6BADCF" w14:textId="7DCA3F8B" w:rsidR="00FE5FE1" w:rsidRPr="00967792" w:rsidRDefault="00FE5FE1" w:rsidP="00967792">
      <w:pPr>
        <w:pStyle w:val="enumlev1"/>
      </w:pPr>
      <w:r w:rsidRPr="00967792">
        <w:t>•</w:t>
      </w:r>
      <w:r w:rsidRPr="00967792">
        <w:tab/>
        <w:t xml:space="preserve">Solicitudes de la Junta para la preparación de Reglas de Procedimiento; todas estas solicitudes se han atendido y las correspondientes Reglas de Procedimientos han sido aprobadas por la </w:t>
      </w:r>
      <w:r w:rsidR="00C077CD" w:rsidRPr="00967792">
        <w:t>Junta</w:t>
      </w:r>
      <w:r w:rsidRPr="00967792">
        <w:t>.</w:t>
      </w:r>
    </w:p>
    <w:p w14:paraId="59F7BF15" w14:textId="3209A8A2" w:rsidR="00FE5FE1" w:rsidRPr="00967792" w:rsidRDefault="00FE5FE1" w:rsidP="00967792">
      <w:pPr>
        <w:pStyle w:val="enumlev1"/>
      </w:pPr>
      <w:r w:rsidRPr="00967792">
        <w:t>•</w:t>
      </w:r>
      <w:r w:rsidRPr="00967792">
        <w:tab/>
        <w:t xml:space="preserve">Decisiones relativas a la situación de una interpretación auténtica del </w:t>
      </w:r>
      <w:r w:rsidR="00C077CD" w:rsidRPr="00967792">
        <w:t>RR</w:t>
      </w:r>
      <w:r w:rsidRPr="00967792">
        <w:t xml:space="preserve">, en particular el refrendo de las prácticas de la </w:t>
      </w:r>
      <w:r w:rsidR="00C077CD" w:rsidRPr="00967792">
        <w:t>Oficina</w:t>
      </w:r>
      <w:r w:rsidRPr="00967792">
        <w:t xml:space="preserve">; tales decisiones, dimanantes del órgano facultado para adoptar el </w:t>
      </w:r>
      <w:r w:rsidR="00C077CD" w:rsidRPr="00967792">
        <w:t>RR</w:t>
      </w:r>
      <w:r w:rsidRPr="00967792">
        <w:t>, constituyen la interpretación del RR, son vinculantes para la Oficina y, por consiguiente, las ha de tomar en consideración la Oficina. Estas decisiones pueden convertirse luego en Reglas de Procedimiento.</w:t>
      </w:r>
    </w:p>
    <w:p w14:paraId="106A5D27" w14:textId="6FBB32B3" w:rsidR="00FE5FE1" w:rsidRPr="00D2027A" w:rsidRDefault="00FE5FE1" w:rsidP="00967792">
      <w:pPr>
        <w:rPr>
          <w:b/>
          <w:bCs/>
          <w:lang w:val="es-ES"/>
        </w:rPr>
      </w:pPr>
      <w:r w:rsidRPr="00D2027A">
        <w:rPr>
          <w:lang w:val="es-ES" w:eastAsia="zh-CN"/>
        </w:rPr>
        <w:t xml:space="preserve">En vista de las grandes modificaciones introducidas en el </w:t>
      </w:r>
      <w:r w:rsidR="00C077CD" w:rsidRPr="00D2027A">
        <w:rPr>
          <w:lang w:val="es-ES" w:eastAsia="zh-CN"/>
        </w:rPr>
        <w:t>RR</w:t>
      </w:r>
      <w:r w:rsidRPr="00D2027A">
        <w:rPr>
          <w:lang w:val="es-ES" w:eastAsia="zh-CN"/>
        </w:rPr>
        <w:t xml:space="preserve"> desde 1995, la Oficina estima que no merece la pena investigar las decisiones de las CAMR anteriores a 1995.</w:t>
      </w:r>
    </w:p>
    <w:p w14:paraId="5B845072" w14:textId="77777777" w:rsidR="00FE5FE1" w:rsidRPr="00D2027A" w:rsidRDefault="00FE5FE1" w:rsidP="00FE5FE1">
      <w:pPr>
        <w:rPr>
          <w:lang w:val="es-ES"/>
        </w:rPr>
      </w:pPr>
    </w:p>
    <w:p w14:paraId="7E0F16DA" w14:textId="77777777" w:rsidR="00FE5FE1" w:rsidRPr="00D2027A" w:rsidRDefault="00FE5FE1" w:rsidP="00FE5FE1">
      <w:pPr>
        <w:rPr>
          <w:lang w:val="es-ES"/>
        </w:rPr>
        <w:sectPr w:rsidR="00FE5FE1" w:rsidRPr="00D2027A">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pPr>
    </w:p>
    <w:p w14:paraId="23ECA98D" w14:textId="77777777" w:rsidR="00FE5FE1" w:rsidRPr="00D2027A" w:rsidRDefault="00FE5FE1" w:rsidP="009B6F4D">
      <w:pPr>
        <w:pStyle w:val="TableNotitle"/>
        <w:rPr>
          <w:lang w:val="es-ES"/>
        </w:rPr>
      </w:pPr>
      <w:r w:rsidRPr="00D2027A">
        <w:rPr>
          <w:lang w:val="es-ES"/>
        </w:rPr>
        <w:lastRenderedPageBreak/>
        <w:t>Compendio de decisiones de la CMR no integradas en el Reglamento de Radiocomunicaciones</w:t>
      </w:r>
    </w:p>
    <w:tbl>
      <w:tblPr>
        <w:tblStyle w:val="TableGrid"/>
        <w:tblW w:w="5000" w:type="pct"/>
        <w:jc w:val="center"/>
        <w:tblLayout w:type="fixed"/>
        <w:tblLook w:val="0420" w:firstRow="1" w:lastRow="0" w:firstColumn="0" w:lastColumn="0" w:noHBand="0" w:noVBand="1"/>
      </w:tblPr>
      <w:tblGrid>
        <w:gridCol w:w="512"/>
        <w:gridCol w:w="1214"/>
        <w:gridCol w:w="1463"/>
        <w:gridCol w:w="6468"/>
        <w:gridCol w:w="4331"/>
      </w:tblGrid>
      <w:tr w:rsidR="00967792" w:rsidRPr="00A616CA" w14:paraId="67AAC51D" w14:textId="77777777" w:rsidTr="00924C8B">
        <w:trPr>
          <w:tblHeader/>
          <w:jc w:val="center"/>
        </w:trPr>
        <w:tc>
          <w:tcPr>
            <w:tcW w:w="183" w:type="pct"/>
            <w:vAlign w:val="center"/>
          </w:tcPr>
          <w:p w14:paraId="015F8F9E" w14:textId="77777777" w:rsidR="00967792" w:rsidRPr="00A616CA" w:rsidRDefault="00967792" w:rsidP="00B53355">
            <w:pPr>
              <w:pStyle w:val="Tablehead"/>
            </w:pPr>
          </w:p>
        </w:tc>
        <w:tc>
          <w:tcPr>
            <w:tcW w:w="434" w:type="pct"/>
            <w:vAlign w:val="center"/>
          </w:tcPr>
          <w:p w14:paraId="4A1544E3" w14:textId="77777777" w:rsidR="00967792" w:rsidRPr="00A616CA" w:rsidRDefault="00967792" w:rsidP="00B53355">
            <w:pPr>
              <w:pStyle w:val="Tablehead"/>
            </w:pPr>
            <w:r w:rsidRPr="00A616CA">
              <w:t>CMR</w:t>
            </w:r>
          </w:p>
        </w:tc>
        <w:tc>
          <w:tcPr>
            <w:tcW w:w="523" w:type="pct"/>
            <w:vAlign w:val="center"/>
          </w:tcPr>
          <w:p w14:paraId="2D00A3EA" w14:textId="77777777" w:rsidR="00967792" w:rsidRPr="00A616CA" w:rsidRDefault="00967792" w:rsidP="00B53355">
            <w:pPr>
              <w:pStyle w:val="Tablehead"/>
            </w:pPr>
            <w:r w:rsidRPr="00A616CA">
              <w:t>Referencia</w:t>
            </w:r>
          </w:p>
        </w:tc>
        <w:tc>
          <w:tcPr>
            <w:tcW w:w="2312" w:type="pct"/>
            <w:vAlign w:val="center"/>
          </w:tcPr>
          <w:p w14:paraId="0C9D1915" w14:textId="77777777" w:rsidR="00967792" w:rsidRPr="00A616CA" w:rsidRDefault="00967792" w:rsidP="00B53355">
            <w:pPr>
              <w:pStyle w:val="Tablehead"/>
            </w:pPr>
            <w:r w:rsidRPr="00A616CA">
              <w:t>Decisión</w:t>
            </w:r>
          </w:p>
        </w:tc>
        <w:tc>
          <w:tcPr>
            <w:tcW w:w="1548" w:type="pct"/>
            <w:vAlign w:val="center"/>
          </w:tcPr>
          <w:p w14:paraId="56E9F00B" w14:textId="5D45257D" w:rsidR="00967792" w:rsidRPr="00A616CA" w:rsidRDefault="00967792" w:rsidP="00B53355">
            <w:pPr>
              <w:pStyle w:val="Tablehead"/>
            </w:pPr>
            <w:r w:rsidRPr="00A616CA">
              <w:t>Seguimiento por CMR/Consejo/</w:t>
            </w:r>
            <w:r w:rsidR="00A616CA">
              <w:br/>
            </w:r>
            <w:r w:rsidRPr="00A616CA">
              <w:t>RRB/Asesor jurídico</w:t>
            </w:r>
          </w:p>
        </w:tc>
      </w:tr>
      <w:tr w:rsidR="00967792" w:rsidRPr="00D2027A" w14:paraId="1AC639BF" w14:textId="77777777" w:rsidTr="00924C8B">
        <w:trPr>
          <w:jc w:val="center"/>
        </w:trPr>
        <w:tc>
          <w:tcPr>
            <w:tcW w:w="183" w:type="pct"/>
          </w:tcPr>
          <w:p w14:paraId="1D58E8B1" w14:textId="77777777" w:rsidR="00967792" w:rsidRPr="00D2027A" w:rsidRDefault="00967792" w:rsidP="00B53355">
            <w:pPr>
              <w:pStyle w:val="Tabletext"/>
              <w:rPr>
                <w:lang w:val="es-ES"/>
              </w:rPr>
            </w:pPr>
          </w:p>
        </w:tc>
        <w:tc>
          <w:tcPr>
            <w:tcW w:w="434" w:type="pct"/>
          </w:tcPr>
          <w:p w14:paraId="76E38B24" w14:textId="77777777" w:rsidR="00967792" w:rsidRPr="00D2027A" w:rsidRDefault="00967792" w:rsidP="00B53355">
            <w:pPr>
              <w:pStyle w:val="Tabletext"/>
              <w:rPr>
                <w:lang w:val="es-ES"/>
              </w:rPr>
            </w:pPr>
            <w:r w:rsidRPr="00D2027A">
              <w:rPr>
                <w:lang w:val="es-ES"/>
              </w:rPr>
              <w:t>CMR-95</w:t>
            </w:r>
          </w:p>
        </w:tc>
        <w:tc>
          <w:tcPr>
            <w:tcW w:w="523" w:type="pct"/>
          </w:tcPr>
          <w:p w14:paraId="125DD0CD" w14:textId="77777777" w:rsidR="00967792" w:rsidRPr="00D2027A" w:rsidRDefault="00967792" w:rsidP="00B53355">
            <w:pPr>
              <w:pStyle w:val="Tabletext"/>
              <w:rPr>
                <w:lang w:val="es-ES"/>
              </w:rPr>
            </w:pPr>
          </w:p>
        </w:tc>
        <w:tc>
          <w:tcPr>
            <w:tcW w:w="2312" w:type="pct"/>
          </w:tcPr>
          <w:p w14:paraId="34201187" w14:textId="77777777" w:rsidR="00967792" w:rsidRPr="00D2027A" w:rsidRDefault="00967792" w:rsidP="00B53355">
            <w:pPr>
              <w:pStyle w:val="Tabletext"/>
              <w:rPr>
                <w:lang w:val="es-ES"/>
              </w:rPr>
            </w:pPr>
            <w:r w:rsidRPr="00D2027A">
              <w:rPr>
                <w:lang w:val="es-ES"/>
              </w:rPr>
              <w:t>Ninguna</w:t>
            </w:r>
          </w:p>
        </w:tc>
        <w:tc>
          <w:tcPr>
            <w:tcW w:w="1548" w:type="pct"/>
          </w:tcPr>
          <w:p w14:paraId="2877E62E" w14:textId="77777777" w:rsidR="00967792" w:rsidRPr="00D2027A" w:rsidRDefault="00967792" w:rsidP="00B53355">
            <w:pPr>
              <w:pStyle w:val="Tabletext"/>
              <w:rPr>
                <w:lang w:val="es-ES"/>
              </w:rPr>
            </w:pPr>
          </w:p>
        </w:tc>
      </w:tr>
      <w:tr w:rsidR="00967792" w:rsidRPr="00D2027A" w14:paraId="1ACBC6D8" w14:textId="77777777" w:rsidTr="00924C8B">
        <w:tblPrEx>
          <w:tblLook w:val="04A0" w:firstRow="1" w:lastRow="0" w:firstColumn="1" w:lastColumn="0" w:noHBand="0" w:noVBand="1"/>
        </w:tblPrEx>
        <w:trPr>
          <w:jc w:val="center"/>
        </w:trPr>
        <w:tc>
          <w:tcPr>
            <w:tcW w:w="183" w:type="pct"/>
          </w:tcPr>
          <w:p w14:paraId="64D3A9A6" w14:textId="77777777" w:rsidR="00967792" w:rsidRPr="00A616CA" w:rsidRDefault="00967792" w:rsidP="00B53355">
            <w:pPr>
              <w:pStyle w:val="Tabletext"/>
              <w:rPr>
                <w:lang w:val="es-ES"/>
              </w:rPr>
            </w:pPr>
            <w:r w:rsidRPr="00A616CA">
              <w:rPr>
                <w:lang w:val="es-ES"/>
              </w:rPr>
              <w:t>1</w:t>
            </w:r>
          </w:p>
        </w:tc>
        <w:tc>
          <w:tcPr>
            <w:tcW w:w="434" w:type="pct"/>
          </w:tcPr>
          <w:p w14:paraId="27203FD0" w14:textId="77777777" w:rsidR="00967792" w:rsidRPr="00A616CA" w:rsidRDefault="00967792" w:rsidP="00B53355">
            <w:pPr>
              <w:pStyle w:val="Tabletext"/>
              <w:rPr>
                <w:lang w:val="es-ES"/>
              </w:rPr>
            </w:pPr>
            <w:r w:rsidRPr="00A616CA">
              <w:rPr>
                <w:lang w:val="es-ES"/>
              </w:rPr>
              <w:t>CMR-97</w:t>
            </w:r>
          </w:p>
        </w:tc>
        <w:tc>
          <w:tcPr>
            <w:tcW w:w="523" w:type="pct"/>
          </w:tcPr>
          <w:p w14:paraId="0A92AA42" w14:textId="2A0440BB" w:rsidR="00967792" w:rsidRPr="00D2027A" w:rsidRDefault="00967792" w:rsidP="00B53355">
            <w:pPr>
              <w:pStyle w:val="Tabletext"/>
              <w:rPr>
                <w:rFonts w:asciiTheme="majorBidi" w:hAnsiTheme="majorBidi" w:cstheme="majorBidi"/>
                <w:szCs w:val="24"/>
                <w:lang w:val="es-ES"/>
              </w:rPr>
            </w:pPr>
            <w:r w:rsidRPr="005907DC">
              <w:rPr>
                <w:rFonts w:asciiTheme="majorBidi" w:hAnsiTheme="majorBidi" w:cstheme="majorBidi"/>
                <w:szCs w:val="24"/>
                <w:lang w:val="es-ES"/>
              </w:rPr>
              <w:t>10ª Plenaria</w:t>
            </w:r>
            <w:r w:rsidRPr="005907DC">
              <w:rPr>
                <w:rFonts w:asciiTheme="majorBidi" w:hAnsiTheme="majorBidi" w:cstheme="majorBidi"/>
                <w:szCs w:val="24"/>
                <w:lang w:val="es-ES"/>
              </w:rPr>
              <w:br/>
            </w:r>
            <w:hyperlink r:id="rId14" w:history="1">
              <w:r w:rsidRPr="005907DC">
                <w:rPr>
                  <w:rStyle w:val="Hyperlink"/>
                  <w:rFonts w:asciiTheme="majorBidi" w:hAnsiTheme="majorBidi" w:cstheme="majorBidi"/>
                  <w:szCs w:val="24"/>
                  <w:lang w:val="es-ES"/>
                </w:rPr>
                <w:t>Doc. 391</w:t>
              </w:r>
            </w:hyperlink>
          </w:p>
        </w:tc>
        <w:tc>
          <w:tcPr>
            <w:tcW w:w="2312" w:type="pct"/>
          </w:tcPr>
          <w:p w14:paraId="379A57BB" w14:textId="77777777" w:rsidR="00967792" w:rsidRPr="005907DC" w:rsidRDefault="00967792" w:rsidP="00B53355">
            <w:pPr>
              <w:pStyle w:val="heading0"/>
              <w:spacing w:before="40" w:after="40"/>
              <w:rPr>
                <w:sz w:val="22"/>
                <w:szCs w:val="22"/>
                <w:lang w:val="es-ES"/>
              </w:rPr>
            </w:pPr>
            <w:r w:rsidRPr="005907DC">
              <w:rPr>
                <w:sz w:val="22"/>
                <w:szCs w:val="22"/>
                <w:lang w:val="es-ES"/>
              </w:rPr>
              <w:t>Artículo S5 (MOD Cuadro 54,25 - 71 GHz)</w:t>
            </w:r>
          </w:p>
          <w:p w14:paraId="37246BCA" w14:textId="50A7707B" w:rsidR="00967792" w:rsidRPr="005907DC" w:rsidRDefault="00967792" w:rsidP="00B53355">
            <w:pPr>
              <w:spacing w:before="40" w:after="40"/>
              <w:rPr>
                <w:sz w:val="22"/>
                <w:lang w:val="es-ES"/>
              </w:rPr>
            </w:pPr>
            <w:r w:rsidRPr="005907DC">
              <w:rPr>
                <w:b/>
                <w:sz w:val="22"/>
                <w:lang w:val="es-ES"/>
              </w:rPr>
              <w:t>5.3</w:t>
            </w:r>
            <w:r w:rsidRPr="005907DC">
              <w:rPr>
                <w:b/>
                <w:sz w:val="22"/>
                <w:lang w:val="es-ES"/>
              </w:rPr>
              <w:tab/>
            </w:r>
            <w:r w:rsidRPr="005907DC">
              <w:rPr>
                <w:sz w:val="22"/>
                <w:lang w:val="es-ES"/>
              </w:rPr>
              <w:t xml:space="preserve">La </w:t>
            </w:r>
            <w:r w:rsidRPr="005907DC">
              <w:rPr>
                <w:b/>
                <w:sz w:val="22"/>
                <w:lang w:val="es-ES"/>
              </w:rPr>
              <w:t xml:space="preserve">Presidenta de la Comisión 5 </w:t>
            </w:r>
            <w:r w:rsidRPr="005907DC">
              <w:rPr>
                <w:sz w:val="22"/>
                <w:lang w:val="es-ES"/>
              </w:rPr>
              <w:t xml:space="preserve">remite a los participantes al </w:t>
            </w:r>
            <w:hyperlink r:id="rId15" w:history="1">
              <w:r w:rsidRPr="005907DC">
                <w:rPr>
                  <w:rStyle w:val="Hyperlink"/>
                  <w:sz w:val="22"/>
                  <w:lang w:val="es-ES"/>
                </w:rPr>
                <w:t>Documento 363</w:t>
              </w:r>
            </w:hyperlink>
            <w:r w:rsidRPr="005907DC">
              <w:rPr>
                <w:sz w:val="22"/>
                <w:lang w:val="es-ES"/>
              </w:rPr>
              <w:t>, que contiene la siguiente información: la Comisión 5 aprobó ciertas modificaciones en el artículo S5 que permitirán reducir la intensa utilización de las bandas de frecuencias cerca de 60 GHz por el servicio entre satélites con objeto de proteger los sistemas científicos espaciales en esta gama del espectro tan importante para las observaciones meteorológicas. En la última sesión de la Comisión 5, la</w:t>
            </w:r>
            <w:r w:rsidR="009B6F4D">
              <w:rPr>
                <w:sz w:val="22"/>
                <w:lang w:val="es-ES"/>
              </w:rPr>
              <w:t> </w:t>
            </w:r>
            <w:r w:rsidRPr="005907DC">
              <w:rPr>
                <w:sz w:val="22"/>
                <w:lang w:val="es-ES"/>
              </w:rPr>
              <w:t>BR confirmó que antes de la CMR-97 recibió información para publicación anticipada relativa a un número limitado de sistemas que utilizan bandas en las cercanías de 60 GHz para enlaces entre satélites no geoestacionarios y que estos sistemas ya no serían conformes a las atribuciones de frecuencias modificadas como resultado de las decisiones de la Comisión 5. A fin de no perjudicar a las administraciones que ya han presentado información para publicación anticipada sobre sistemas no geoestacionarios que utilizan enlaces entre satélites en la banda de 60</w:t>
            </w:r>
            <w:r w:rsidR="009B6F4D">
              <w:rPr>
                <w:sz w:val="22"/>
                <w:lang w:val="es-ES"/>
              </w:rPr>
              <w:t> </w:t>
            </w:r>
            <w:r w:rsidRPr="005907DC">
              <w:rPr>
                <w:sz w:val="22"/>
                <w:lang w:val="es-ES"/>
              </w:rPr>
              <w:t xml:space="preserve">GHz, se sugiere que la Conferencia encargue a la Oficina que proceda de la siguiente manera: </w:t>
            </w:r>
            <w:r w:rsidRPr="005907DC">
              <w:rPr>
                <w:i/>
                <w:iCs/>
                <w:sz w:val="22"/>
                <w:lang w:val="es-ES"/>
              </w:rPr>
              <w:t xml:space="preserve">cuando las administraciones examinen las modificaciones de los sistemas mencionados en el segundo párrafo del </w:t>
            </w:r>
            <w:r w:rsidRPr="005907DC">
              <w:rPr>
                <w:i/>
                <w:iCs/>
                <w:sz w:val="22"/>
                <w:lang w:val="es-ES"/>
              </w:rPr>
              <w:br w:type="page"/>
              <w:t>Documento 363 con el objeto de desplazar las frecuencias de los enlaces entre satélites de las bandas notificadas originalmente a otra banda atribuida al servicio entre satélites, no se exigirá a las administraciones responsables de estos sistemas que apliquen las disposiciones del número [1043]/S9.2 del Reglamento de Radiocomunicaciones (relativo a la necesidad de volver a iniciar el procedimiento de publicación anticipada)</w:t>
            </w:r>
            <w:r w:rsidRPr="005907DC">
              <w:rPr>
                <w:sz w:val="22"/>
                <w:lang w:val="es-ES"/>
              </w:rPr>
              <w:t>.</w:t>
            </w:r>
          </w:p>
          <w:p w14:paraId="0B47E978" w14:textId="77777777" w:rsidR="00967792" w:rsidRPr="005907DC" w:rsidRDefault="00967792" w:rsidP="00B53355">
            <w:pPr>
              <w:spacing w:before="40" w:after="40"/>
              <w:rPr>
                <w:sz w:val="22"/>
                <w:lang w:val="es-ES"/>
              </w:rPr>
            </w:pPr>
            <w:r w:rsidRPr="005907DC">
              <w:rPr>
                <w:b/>
                <w:sz w:val="22"/>
                <w:lang w:val="es-ES"/>
              </w:rPr>
              <w:t>5.4</w:t>
            </w:r>
            <w:r w:rsidRPr="005907DC">
              <w:rPr>
                <w:b/>
                <w:sz w:val="22"/>
                <w:lang w:val="es-ES"/>
              </w:rPr>
              <w:tab/>
            </w:r>
            <w:r w:rsidRPr="005907DC">
              <w:rPr>
                <w:sz w:val="22"/>
                <w:lang w:val="es-ES"/>
              </w:rPr>
              <w:t xml:space="preserve">El </w:t>
            </w:r>
            <w:r w:rsidRPr="005907DC">
              <w:rPr>
                <w:b/>
                <w:sz w:val="22"/>
                <w:lang w:val="es-ES"/>
              </w:rPr>
              <w:t xml:space="preserve">Presidente </w:t>
            </w:r>
            <w:r w:rsidRPr="005907DC">
              <w:rPr>
                <w:sz w:val="22"/>
                <w:lang w:val="es-ES"/>
              </w:rPr>
              <w:t>propone que la Plenaria encargue a la Oficina que adopte el procedimiento mencionado.</w:t>
            </w:r>
          </w:p>
          <w:p w14:paraId="60D46633" w14:textId="77777777" w:rsidR="00967792" w:rsidRPr="005907DC" w:rsidRDefault="00967792" w:rsidP="00B53355">
            <w:pPr>
              <w:spacing w:before="40" w:after="40"/>
              <w:rPr>
                <w:b/>
                <w:sz w:val="22"/>
                <w:lang w:val="es-ES"/>
              </w:rPr>
            </w:pPr>
            <w:r w:rsidRPr="005907DC">
              <w:rPr>
                <w:b/>
                <w:sz w:val="22"/>
                <w:lang w:val="es-ES"/>
              </w:rPr>
              <w:t>5.5</w:t>
            </w:r>
            <w:r w:rsidRPr="005907DC">
              <w:rPr>
                <w:b/>
                <w:sz w:val="22"/>
                <w:lang w:val="es-ES"/>
              </w:rPr>
              <w:tab/>
            </w:r>
            <w:r w:rsidRPr="005907DC">
              <w:rPr>
                <w:sz w:val="22"/>
                <w:lang w:val="es-ES"/>
              </w:rPr>
              <w:t xml:space="preserve">Así se </w:t>
            </w:r>
            <w:r w:rsidRPr="005907DC">
              <w:rPr>
                <w:b/>
                <w:sz w:val="22"/>
                <w:lang w:val="es-ES"/>
              </w:rPr>
              <w:t>acuerda</w:t>
            </w:r>
            <w:r w:rsidRPr="005907DC">
              <w:rPr>
                <w:bCs/>
                <w:sz w:val="22"/>
                <w:lang w:val="es-ES"/>
              </w:rPr>
              <w:t>.</w:t>
            </w:r>
          </w:p>
          <w:p w14:paraId="4F61A8EA" w14:textId="5F0F20EC" w:rsidR="00967792" w:rsidRPr="005907DC" w:rsidRDefault="00967792" w:rsidP="00B53355">
            <w:pPr>
              <w:spacing w:before="40" w:after="40"/>
              <w:rPr>
                <w:sz w:val="22"/>
                <w:lang w:val="es-ES"/>
              </w:rPr>
            </w:pPr>
            <w:r w:rsidRPr="005907DC">
              <w:rPr>
                <w:b/>
                <w:sz w:val="22"/>
                <w:lang w:val="es-ES"/>
              </w:rPr>
              <w:lastRenderedPageBreak/>
              <w:t>5.6</w:t>
            </w:r>
            <w:r w:rsidRPr="005907DC">
              <w:rPr>
                <w:b/>
                <w:sz w:val="22"/>
                <w:lang w:val="es-ES"/>
              </w:rPr>
              <w:tab/>
            </w:r>
            <w:r w:rsidRPr="005907DC">
              <w:rPr>
                <w:sz w:val="22"/>
                <w:lang w:val="es-ES"/>
              </w:rPr>
              <w:t xml:space="preserve">Teniendo en cuenta esta decisión, se </w:t>
            </w:r>
            <w:r w:rsidRPr="005907DC">
              <w:rPr>
                <w:b/>
                <w:sz w:val="22"/>
                <w:lang w:val="es-ES"/>
              </w:rPr>
              <w:t xml:space="preserve">aprueba </w:t>
            </w:r>
            <w:r w:rsidRPr="005907DC">
              <w:rPr>
                <w:sz w:val="22"/>
                <w:lang w:val="es-ES"/>
              </w:rPr>
              <w:t>MOD Cuadro</w:t>
            </w:r>
            <w:r w:rsidR="00251EE1">
              <w:rPr>
                <w:sz w:val="22"/>
                <w:lang w:val="es-ES"/>
              </w:rPr>
              <w:t> </w:t>
            </w:r>
            <w:r w:rsidRPr="005907DC">
              <w:rPr>
                <w:sz w:val="22"/>
                <w:lang w:val="es-ES"/>
              </w:rPr>
              <w:t>54,25 - 71 GHz.</w:t>
            </w:r>
          </w:p>
        </w:tc>
        <w:tc>
          <w:tcPr>
            <w:tcW w:w="1548" w:type="pct"/>
          </w:tcPr>
          <w:p w14:paraId="5CFAC105" w14:textId="1C681B08" w:rsidR="00967792" w:rsidRPr="00A616CA" w:rsidRDefault="00967792" w:rsidP="00B53355">
            <w:pPr>
              <w:pStyle w:val="Tabletext"/>
              <w:rPr>
                <w:lang w:val="es-ES"/>
              </w:rPr>
            </w:pPr>
          </w:p>
        </w:tc>
      </w:tr>
      <w:tr w:rsidR="00967792" w:rsidRPr="00D2027A" w14:paraId="24C56BB7" w14:textId="77777777" w:rsidTr="00924C8B">
        <w:tblPrEx>
          <w:tblLook w:val="04A0" w:firstRow="1" w:lastRow="0" w:firstColumn="1" w:lastColumn="0" w:noHBand="0" w:noVBand="1"/>
        </w:tblPrEx>
        <w:trPr>
          <w:jc w:val="center"/>
        </w:trPr>
        <w:tc>
          <w:tcPr>
            <w:tcW w:w="183" w:type="pct"/>
          </w:tcPr>
          <w:p w14:paraId="169800C6" w14:textId="77777777" w:rsidR="00967792" w:rsidRPr="00A616CA" w:rsidRDefault="00967792" w:rsidP="00B53355">
            <w:pPr>
              <w:pStyle w:val="Tabletext"/>
              <w:rPr>
                <w:lang w:val="es-ES"/>
              </w:rPr>
            </w:pPr>
            <w:r w:rsidRPr="00A616CA">
              <w:rPr>
                <w:lang w:val="es-ES"/>
              </w:rPr>
              <w:t>2</w:t>
            </w:r>
          </w:p>
        </w:tc>
        <w:tc>
          <w:tcPr>
            <w:tcW w:w="434" w:type="pct"/>
          </w:tcPr>
          <w:p w14:paraId="60625729" w14:textId="77777777" w:rsidR="00967792" w:rsidRPr="00A616CA" w:rsidRDefault="00967792" w:rsidP="00924C8B">
            <w:pPr>
              <w:pStyle w:val="Tabletext"/>
              <w:ind w:right="-57"/>
              <w:rPr>
                <w:lang w:val="es-ES"/>
              </w:rPr>
            </w:pPr>
            <w:r w:rsidRPr="00A616CA">
              <w:rPr>
                <w:lang w:val="es-ES"/>
              </w:rPr>
              <w:t>CMR-2000</w:t>
            </w:r>
          </w:p>
        </w:tc>
        <w:tc>
          <w:tcPr>
            <w:tcW w:w="523" w:type="pct"/>
          </w:tcPr>
          <w:p w14:paraId="77D7BD8E" w14:textId="5025E92F" w:rsidR="00967792" w:rsidRPr="00D2027A" w:rsidRDefault="00967792" w:rsidP="00B53355">
            <w:pPr>
              <w:pStyle w:val="Tabletext"/>
              <w:rPr>
                <w:rFonts w:asciiTheme="majorBidi" w:eastAsia="Malgun Gothic" w:hAnsiTheme="majorBidi" w:cstheme="majorBidi"/>
                <w:bCs/>
                <w:lang w:val="es-ES" w:eastAsia="ko-KR"/>
              </w:rPr>
            </w:pPr>
            <w:r w:rsidRPr="00D2027A">
              <w:rPr>
                <w:rFonts w:asciiTheme="majorBidi" w:eastAsia="Malgun Gothic" w:hAnsiTheme="majorBidi" w:cstheme="majorBidi"/>
                <w:bCs/>
                <w:lang w:val="es-ES" w:eastAsia="ko-KR"/>
              </w:rPr>
              <w:t>2ª Plenaria</w:t>
            </w:r>
            <w:r w:rsidRPr="00D2027A">
              <w:rPr>
                <w:rFonts w:asciiTheme="majorBidi" w:eastAsia="Malgun Gothic" w:hAnsiTheme="majorBidi" w:cstheme="majorBidi"/>
                <w:bCs/>
                <w:lang w:val="es-ES" w:eastAsia="ko-KR"/>
              </w:rPr>
              <w:br/>
            </w:r>
            <w:hyperlink r:id="rId16" w:history="1">
              <w:r w:rsidRPr="00D2027A">
                <w:rPr>
                  <w:rStyle w:val="Hyperlink"/>
                  <w:rFonts w:asciiTheme="majorBidi" w:eastAsia="Malgun Gothic" w:hAnsiTheme="majorBidi" w:cstheme="majorBidi"/>
                  <w:bCs/>
                  <w:lang w:val="es-ES" w:eastAsia="ko-KR"/>
                </w:rPr>
                <w:t>Doc. 268</w:t>
              </w:r>
            </w:hyperlink>
          </w:p>
        </w:tc>
        <w:tc>
          <w:tcPr>
            <w:tcW w:w="2312" w:type="pct"/>
          </w:tcPr>
          <w:p w14:paraId="2A8FE254" w14:textId="77777777" w:rsidR="00967792" w:rsidRPr="005907DC" w:rsidRDefault="00967792" w:rsidP="00B53355">
            <w:pPr>
              <w:pStyle w:val="Heading1"/>
              <w:spacing w:before="40" w:after="40"/>
              <w:outlineLvl w:val="0"/>
              <w:rPr>
                <w:sz w:val="22"/>
                <w:lang w:val="es-ES"/>
              </w:rPr>
            </w:pPr>
            <w:r w:rsidRPr="005907DC">
              <w:rPr>
                <w:sz w:val="22"/>
                <w:lang w:val="es-ES"/>
              </w:rPr>
              <w:t>4</w:t>
            </w:r>
            <w:r w:rsidRPr="005907DC">
              <w:rPr>
                <w:sz w:val="22"/>
                <w:lang w:val="es-ES"/>
              </w:rPr>
              <w:tab/>
              <w:t>Solicitud presentada por España para mantener las asignaciones de frecuencias a HISPASAT-2 en los Planes de los apéndices S30 y S30A (Documento 178)</w:t>
            </w:r>
          </w:p>
          <w:p w14:paraId="6CEA8029" w14:textId="2AA423D4" w:rsidR="00967792" w:rsidRPr="005907DC" w:rsidRDefault="00967792" w:rsidP="00B53355">
            <w:pPr>
              <w:spacing w:before="40" w:after="40"/>
              <w:rPr>
                <w:sz w:val="22"/>
                <w:lang w:val="es-ES"/>
              </w:rPr>
            </w:pPr>
            <w:r w:rsidRPr="005907DC">
              <w:rPr>
                <w:sz w:val="22"/>
                <w:lang w:val="es-ES"/>
              </w:rPr>
              <w:t>4.1</w:t>
            </w:r>
            <w:r w:rsidRPr="005907DC">
              <w:rPr>
                <w:sz w:val="22"/>
                <w:lang w:val="es-ES"/>
              </w:rPr>
              <w:tab/>
              <w:t xml:space="preserve">El </w:t>
            </w:r>
            <w:r w:rsidRPr="005907DC">
              <w:rPr>
                <w:b/>
                <w:bCs/>
                <w:sz w:val="22"/>
                <w:lang w:val="es-ES"/>
              </w:rPr>
              <w:t>Presidente del Grupo de Trabajo 1 de la Plenaria</w:t>
            </w:r>
            <w:r w:rsidRPr="005907DC">
              <w:rPr>
                <w:sz w:val="22"/>
                <w:lang w:val="es-ES"/>
              </w:rPr>
              <w:t xml:space="preserve">, presenta el </w:t>
            </w:r>
            <w:hyperlink r:id="rId17" w:history="1">
              <w:r w:rsidRPr="005907DC">
                <w:rPr>
                  <w:rStyle w:val="Hyperlink"/>
                  <w:sz w:val="22"/>
                  <w:lang w:val="es-ES"/>
                </w:rPr>
                <w:t>Documento 178</w:t>
              </w:r>
            </w:hyperlink>
            <w:r w:rsidRPr="005907DC">
              <w:rPr>
                <w:sz w:val="22"/>
                <w:lang w:val="es-ES"/>
              </w:rPr>
              <w:t xml:space="preserve"> y dice que es necesario pronunciarse sobre la petición de España de mantener las asignaciones de frecuencias a HISPASAT</w:t>
            </w:r>
            <w:r w:rsidRPr="005907DC">
              <w:rPr>
                <w:sz w:val="22"/>
                <w:lang w:val="es-ES"/>
              </w:rPr>
              <w:noBreakHyphen/>
              <w:t>2 en los Planes de los apéndices S30 y S30A. Al describir los antecedentes de la solicitud de España, que se esbozan en la sección A del documento, señala que se han registrado diferencias en la interpretación de la Resolución 533 (CMR</w:t>
            </w:r>
            <w:r w:rsidRPr="005907DC">
              <w:rPr>
                <w:sz w:val="22"/>
                <w:lang w:val="es-ES"/>
              </w:rPr>
              <w:noBreakHyphen/>
              <w:t xml:space="preserve">97) entre la BR y la RRB, por una parte, y la Administración de España por otra, debido a la ambigüedad a que han dado lugar las divergencias entre el texto del </w:t>
            </w:r>
            <w:r w:rsidRPr="005907DC">
              <w:rPr>
                <w:i/>
                <w:iCs/>
                <w:sz w:val="22"/>
                <w:lang w:val="es-ES"/>
              </w:rPr>
              <w:t xml:space="preserve">resuelve </w:t>
            </w:r>
            <w:r w:rsidRPr="005907DC">
              <w:rPr>
                <w:sz w:val="22"/>
                <w:lang w:val="es-ES"/>
              </w:rPr>
              <w:t>2 de la Resolución 533 y el contenido en las secciones </w:t>
            </w:r>
            <w:r w:rsidRPr="00251EE1">
              <w:rPr>
                <w:b/>
                <w:bCs/>
                <w:sz w:val="22"/>
                <w:lang w:val="es-ES"/>
              </w:rPr>
              <w:t>11.1</w:t>
            </w:r>
            <w:r w:rsidRPr="005907DC">
              <w:rPr>
                <w:sz w:val="22"/>
                <w:lang w:val="es-ES"/>
              </w:rPr>
              <w:t xml:space="preserve"> y </w:t>
            </w:r>
            <w:r w:rsidRPr="00251EE1">
              <w:rPr>
                <w:b/>
                <w:bCs/>
                <w:sz w:val="22"/>
                <w:lang w:val="es-ES"/>
              </w:rPr>
              <w:t>9A.1</w:t>
            </w:r>
            <w:r w:rsidRPr="005907DC">
              <w:rPr>
                <w:sz w:val="22"/>
                <w:lang w:val="es-ES"/>
              </w:rPr>
              <w:t xml:space="preserve"> de los </w:t>
            </w:r>
            <w:r w:rsidR="00251EE1" w:rsidRPr="005907DC">
              <w:rPr>
                <w:sz w:val="22"/>
                <w:lang w:val="es-ES"/>
              </w:rPr>
              <w:t>Artículos </w:t>
            </w:r>
            <w:r w:rsidRPr="00251EE1">
              <w:rPr>
                <w:b/>
                <w:bCs/>
                <w:sz w:val="22"/>
                <w:lang w:val="es-ES"/>
              </w:rPr>
              <w:t>11</w:t>
            </w:r>
            <w:r w:rsidRPr="005907DC">
              <w:rPr>
                <w:sz w:val="22"/>
                <w:lang w:val="es-ES"/>
              </w:rPr>
              <w:t xml:space="preserve"> y </w:t>
            </w:r>
            <w:r w:rsidRPr="00251EE1">
              <w:rPr>
                <w:b/>
                <w:bCs/>
                <w:sz w:val="22"/>
                <w:lang w:val="es-ES"/>
              </w:rPr>
              <w:t>9A</w:t>
            </w:r>
            <w:r w:rsidRPr="005907DC">
              <w:rPr>
                <w:sz w:val="22"/>
                <w:lang w:val="es-ES"/>
              </w:rPr>
              <w:t xml:space="preserve"> de los </w:t>
            </w:r>
            <w:r w:rsidR="00251EE1" w:rsidRPr="005907DC">
              <w:rPr>
                <w:sz w:val="22"/>
                <w:lang w:val="es-ES"/>
              </w:rPr>
              <w:t xml:space="preserve">Apéndices </w:t>
            </w:r>
            <w:r w:rsidRPr="00251EE1">
              <w:rPr>
                <w:b/>
                <w:bCs/>
                <w:sz w:val="22"/>
                <w:lang w:val="es-ES"/>
              </w:rPr>
              <w:t>S30</w:t>
            </w:r>
            <w:r w:rsidRPr="005907DC">
              <w:rPr>
                <w:sz w:val="22"/>
                <w:lang w:val="es-ES"/>
              </w:rPr>
              <w:t xml:space="preserve"> y </w:t>
            </w:r>
            <w:r w:rsidRPr="00251EE1">
              <w:rPr>
                <w:b/>
                <w:bCs/>
                <w:sz w:val="22"/>
                <w:lang w:val="es-ES"/>
              </w:rPr>
              <w:t>S30A</w:t>
            </w:r>
            <w:r w:rsidRPr="005907DC">
              <w:rPr>
                <w:sz w:val="22"/>
                <w:lang w:val="es-ES"/>
              </w:rPr>
              <w:t>, respectivamente. En consecuencia, el Grupo de Trabajo 1 de la Plenaria recomienda dos medidas. En primer lugar, que la presente sesión apruebe la solicitud de España y en segundo término que se enmiende la Resolución </w:t>
            </w:r>
            <w:r w:rsidRPr="00251EE1">
              <w:rPr>
                <w:b/>
                <w:bCs/>
                <w:sz w:val="22"/>
                <w:lang w:val="es-ES"/>
              </w:rPr>
              <w:t>533</w:t>
            </w:r>
            <w:r w:rsidRPr="005907DC">
              <w:rPr>
                <w:sz w:val="22"/>
                <w:lang w:val="es-ES"/>
              </w:rPr>
              <w:t xml:space="preserve"> para eliminar dicha ambigüedad y evitar dificultades en el futuro. Añade que el Grupo de Trabajo no está aún en situación de proponer una enmienda, pero lo hará en una fase ulterior.</w:t>
            </w:r>
          </w:p>
          <w:p w14:paraId="7B43A851" w14:textId="77777777" w:rsidR="00967792" w:rsidRPr="005907DC" w:rsidRDefault="00967792" w:rsidP="00B53355">
            <w:pPr>
              <w:spacing w:before="40" w:after="40"/>
              <w:rPr>
                <w:sz w:val="22"/>
                <w:lang w:val="es-ES"/>
              </w:rPr>
            </w:pPr>
            <w:r w:rsidRPr="005907DC">
              <w:rPr>
                <w:sz w:val="22"/>
                <w:lang w:val="es-ES"/>
              </w:rPr>
              <w:t>4.2</w:t>
            </w:r>
            <w:r w:rsidRPr="005907DC">
              <w:rPr>
                <w:sz w:val="22"/>
                <w:lang w:val="es-ES"/>
              </w:rPr>
              <w:tab/>
              <w:t xml:space="preserve">El </w:t>
            </w:r>
            <w:r w:rsidRPr="005907DC">
              <w:rPr>
                <w:b/>
                <w:bCs/>
                <w:sz w:val="22"/>
                <w:lang w:val="es-ES"/>
              </w:rPr>
              <w:t>delegado de Marruecos</w:t>
            </w:r>
            <w:r w:rsidRPr="005907DC">
              <w:rPr>
                <w:sz w:val="22"/>
                <w:lang w:val="es-ES"/>
              </w:rPr>
              <w:t xml:space="preserve"> propone que la solicitud de España se apruebe y que se ponga a disposición la versión revisada de la Resolución 533 con miras a su aprobación.</w:t>
            </w:r>
          </w:p>
          <w:p w14:paraId="6D9D1C57" w14:textId="77777777" w:rsidR="00967792" w:rsidRPr="005907DC" w:rsidRDefault="00967792" w:rsidP="00B53355">
            <w:pPr>
              <w:spacing w:before="40" w:after="40"/>
              <w:rPr>
                <w:sz w:val="22"/>
                <w:lang w:val="es-ES"/>
              </w:rPr>
            </w:pPr>
            <w:r w:rsidRPr="005907DC">
              <w:rPr>
                <w:sz w:val="22"/>
                <w:lang w:val="es-ES"/>
              </w:rPr>
              <w:t>4.3</w:t>
            </w:r>
            <w:r w:rsidRPr="005907DC">
              <w:rPr>
                <w:sz w:val="22"/>
                <w:lang w:val="es-ES"/>
              </w:rPr>
              <w:tab/>
              <w:t xml:space="preserve">Así se </w:t>
            </w:r>
            <w:r w:rsidRPr="005907DC">
              <w:rPr>
                <w:b/>
                <w:bCs/>
                <w:sz w:val="22"/>
                <w:lang w:val="es-ES"/>
              </w:rPr>
              <w:t>acuerda</w:t>
            </w:r>
            <w:r w:rsidRPr="005907DC">
              <w:rPr>
                <w:sz w:val="22"/>
                <w:lang w:val="es-ES"/>
              </w:rPr>
              <w:t>.</w:t>
            </w:r>
          </w:p>
        </w:tc>
        <w:tc>
          <w:tcPr>
            <w:tcW w:w="1548" w:type="pct"/>
          </w:tcPr>
          <w:p w14:paraId="673FAE5A" w14:textId="626EEA01" w:rsidR="00967792" w:rsidRPr="00A616CA" w:rsidRDefault="00967792" w:rsidP="00B53355">
            <w:pPr>
              <w:pStyle w:val="Tabletext"/>
              <w:rPr>
                <w:lang w:val="es-ES"/>
              </w:rPr>
            </w:pPr>
            <w:r w:rsidRPr="00A616CA">
              <w:rPr>
                <w:lang w:val="es-ES"/>
              </w:rPr>
              <w:t>La Res.</w:t>
            </w:r>
            <w:r w:rsidRPr="005907DC">
              <w:rPr>
                <w:b/>
                <w:bCs/>
                <w:lang w:val="es-ES"/>
              </w:rPr>
              <w:t>542 (CMR</w:t>
            </w:r>
            <w:r w:rsidRPr="005907DC">
              <w:rPr>
                <w:b/>
                <w:bCs/>
                <w:lang w:val="es-ES"/>
              </w:rPr>
              <w:noBreakHyphen/>
              <w:t>2000)</w:t>
            </w:r>
            <w:r w:rsidRPr="00A616CA">
              <w:rPr>
                <w:lang w:val="es-ES"/>
              </w:rPr>
              <w:t xml:space="preserve"> incluyó en la Lista las asignaciones de frecuencia de HISPASAT</w:t>
            </w:r>
            <w:r w:rsidR="00924C8B">
              <w:rPr>
                <w:lang w:val="es-ES"/>
              </w:rPr>
              <w:noBreakHyphen/>
            </w:r>
            <w:r w:rsidRPr="00A616CA">
              <w:rPr>
                <w:lang w:val="es-ES"/>
              </w:rPr>
              <w:t>2</w:t>
            </w:r>
            <w:r w:rsidR="00251EE1">
              <w:rPr>
                <w:lang w:val="es-ES"/>
              </w:rPr>
              <w:t>.</w:t>
            </w:r>
          </w:p>
          <w:p w14:paraId="1110942E" w14:textId="54141442" w:rsidR="00967792" w:rsidRPr="00A616CA" w:rsidRDefault="00967792" w:rsidP="00B53355">
            <w:pPr>
              <w:pStyle w:val="Tabletext"/>
              <w:rPr>
                <w:lang w:val="es-ES"/>
              </w:rPr>
            </w:pPr>
            <w:r w:rsidRPr="00A616CA">
              <w:rPr>
                <w:lang w:val="es-ES"/>
              </w:rPr>
              <w:t>Se revisó la Res.</w:t>
            </w:r>
            <w:r w:rsidRPr="005907DC">
              <w:rPr>
                <w:b/>
                <w:bCs/>
                <w:lang w:val="es-ES"/>
              </w:rPr>
              <w:t>533 (Rev.CMR-2000)</w:t>
            </w:r>
            <w:r w:rsidRPr="00A616CA">
              <w:rPr>
                <w:lang w:val="es-ES"/>
              </w:rPr>
              <w:t xml:space="preserve"> para eliminar la ambigüedad</w:t>
            </w:r>
            <w:r w:rsidR="00251EE1">
              <w:rPr>
                <w:lang w:val="es-ES"/>
              </w:rPr>
              <w:t>.</w:t>
            </w:r>
          </w:p>
          <w:p w14:paraId="6039CEF5" w14:textId="44116840" w:rsidR="00967792" w:rsidRPr="00A616CA" w:rsidRDefault="00967792" w:rsidP="00B53355">
            <w:pPr>
              <w:pStyle w:val="Tabletext"/>
              <w:rPr>
                <w:lang w:val="es-ES"/>
              </w:rPr>
            </w:pPr>
            <w:r w:rsidRPr="00A616CA">
              <w:rPr>
                <w:lang w:val="es-ES"/>
              </w:rPr>
              <w:t>La Res.</w:t>
            </w:r>
            <w:r w:rsidRPr="005907DC">
              <w:rPr>
                <w:b/>
                <w:bCs/>
                <w:lang w:val="es-ES"/>
              </w:rPr>
              <w:t>533</w:t>
            </w:r>
            <w:r w:rsidRPr="00A616CA">
              <w:rPr>
                <w:lang w:val="es-ES"/>
              </w:rPr>
              <w:t xml:space="preserve"> fue suprimida ulteriormente por la CMR</w:t>
            </w:r>
            <w:r w:rsidRPr="00A616CA">
              <w:rPr>
                <w:lang w:val="es-ES"/>
              </w:rPr>
              <w:noBreakHyphen/>
              <w:t>12.</w:t>
            </w:r>
          </w:p>
        </w:tc>
      </w:tr>
      <w:tr w:rsidR="00967792" w:rsidRPr="00D2027A" w14:paraId="69733D4A" w14:textId="77777777" w:rsidTr="00924C8B">
        <w:tblPrEx>
          <w:tblLook w:val="04A0" w:firstRow="1" w:lastRow="0" w:firstColumn="1" w:lastColumn="0" w:noHBand="0" w:noVBand="1"/>
        </w:tblPrEx>
        <w:trPr>
          <w:jc w:val="center"/>
        </w:trPr>
        <w:tc>
          <w:tcPr>
            <w:tcW w:w="183" w:type="pct"/>
          </w:tcPr>
          <w:p w14:paraId="44C215BC" w14:textId="77777777" w:rsidR="00967792" w:rsidRPr="00A616CA" w:rsidRDefault="00967792" w:rsidP="00B53355">
            <w:pPr>
              <w:pStyle w:val="Tabletext"/>
              <w:rPr>
                <w:lang w:val="es-ES"/>
              </w:rPr>
            </w:pPr>
            <w:r w:rsidRPr="00A616CA">
              <w:rPr>
                <w:lang w:val="es-ES"/>
              </w:rPr>
              <w:t>3</w:t>
            </w:r>
          </w:p>
        </w:tc>
        <w:tc>
          <w:tcPr>
            <w:tcW w:w="434" w:type="pct"/>
          </w:tcPr>
          <w:p w14:paraId="64C8A75C" w14:textId="77777777" w:rsidR="00967792" w:rsidRPr="00A616CA" w:rsidRDefault="00967792" w:rsidP="00924C8B">
            <w:pPr>
              <w:pStyle w:val="Tabletext"/>
              <w:ind w:right="-57"/>
              <w:rPr>
                <w:lang w:val="es-ES"/>
              </w:rPr>
            </w:pPr>
            <w:r w:rsidRPr="00A616CA">
              <w:rPr>
                <w:lang w:val="es-ES"/>
              </w:rPr>
              <w:t>CMR-2000</w:t>
            </w:r>
          </w:p>
        </w:tc>
        <w:tc>
          <w:tcPr>
            <w:tcW w:w="523" w:type="pct"/>
          </w:tcPr>
          <w:p w14:paraId="47B4DC07" w14:textId="76481394" w:rsidR="00967792" w:rsidRPr="00D2027A" w:rsidRDefault="00967792" w:rsidP="00B53355">
            <w:pPr>
              <w:pStyle w:val="Tabletext"/>
              <w:rPr>
                <w:rFonts w:asciiTheme="majorBidi" w:eastAsia="Malgun Gothic" w:hAnsiTheme="majorBidi" w:cstheme="majorBidi"/>
                <w:bCs/>
                <w:lang w:val="es-ES" w:eastAsia="ko-KR"/>
              </w:rPr>
            </w:pPr>
            <w:r w:rsidRPr="00A616CA">
              <w:rPr>
                <w:lang w:val="es-ES"/>
              </w:rPr>
              <w:t>2</w:t>
            </w:r>
            <w:r w:rsidR="00A616CA">
              <w:rPr>
                <w:lang w:val="es-ES"/>
              </w:rPr>
              <w:t>ª</w:t>
            </w:r>
            <w:r w:rsidRPr="00D2027A">
              <w:rPr>
                <w:rFonts w:asciiTheme="majorBidi" w:eastAsia="Malgun Gothic" w:hAnsiTheme="majorBidi" w:cstheme="majorBidi"/>
                <w:bCs/>
                <w:lang w:val="es-ES" w:eastAsia="ko-KR"/>
              </w:rPr>
              <w:t xml:space="preserve"> Plenaria</w:t>
            </w:r>
            <w:r w:rsidRPr="00D2027A">
              <w:rPr>
                <w:rFonts w:asciiTheme="majorBidi" w:eastAsia="Malgun Gothic" w:hAnsiTheme="majorBidi" w:cstheme="majorBidi"/>
                <w:bCs/>
                <w:lang w:val="es-ES" w:eastAsia="ko-KR"/>
              </w:rPr>
              <w:br/>
            </w:r>
            <w:hyperlink r:id="rId18" w:history="1">
              <w:r w:rsidRPr="00D2027A">
                <w:rPr>
                  <w:rStyle w:val="Hyperlink"/>
                  <w:rFonts w:asciiTheme="majorBidi" w:eastAsia="Malgun Gothic" w:hAnsiTheme="majorBidi" w:cstheme="majorBidi"/>
                  <w:bCs/>
                  <w:lang w:val="es-ES" w:eastAsia="ko-KR"/>
                </w:rPr>
                <w:t>Doc. 268</w:t>
              </w:r>
            </w:hyperlink>
          </w:p>
        </w:tc>
        <w:tc>
          <w:tcPr>
            <w:tcW w:w="2312" w:type="pct"/>
          </w:tcPr>
          <w:p w14:paraId="0069C7E6" w14:textId="77777777" w:rsidR="00967792" w:rsidRPr="005907DC" w:rsidRDefault="00967792" w:rsidP="00B53355">
            <w:pPr>
              <w:pStyle w:val="Heading1"/>
              <w:spacing w:before="40" w:after="40"/>
              <w:outlineLvl w:val="0"/>
              <w:rPr>
                <w:sz w:val="22"/>
                <w:lang w:val="es-ES"/>
              </w:rPr>
            </w:pPr>
            <w:r w:rsidRPr="005907DC">
              <w:rPr>
                <w:sz w:val="22"/>
                <w:lang w:val="es-ES"/>
              </w:rPr>
              <w:t>8</w:t>
            </w:r>
            <w:r w:rsidRPr="005907DC">
              <w:rPr>
                <w:sz w:val="22"/>
                <w:lang w:val="es-ES"/>
              </w:rPr>
              <w:tab/>
              <w:t>Solicitud de atribución al SRS en Timor Oriental</w:t>
            </w:r>
          </w:p>
          <w:p w14:paraId="752668D7" w14:textId="77777777" w:rsidR="00967792" w:rsidRPr="005907DC" w:rsidRDefault="00967792" w:rsidP="00B53355">
            <w:pPr>
              <w:spacing w:before="40" w:after="40"/>
              <w:rPr>
                <w:sz w:val="22"/>
                <w:lang w:val="es-ES"/>
              </w:rPr>
            </w:pPr>
            <w:r w:rsidRPr="005907DC">
              <w:rPr>
                <w:sz w:val="22"/>
                <w:lang w:val="es-ES"/>
              </w:rPr>
              <w:t>8.1</w:t>
            </w:r>
            <w:r w:rsidRPr="005907DC">
              <w:rPr>
                <w:sz w:val="22"/>
                <w:lang w:val="es-ES"/>
              </w:rPr>
              <w:tab/>
              <w:t xml:space="preserve">El </w:t>
            </w:r>
            <w:r w:rsidRPr="005907DC">
              <w:rPr>
                <w:b/>
                <w:bCs/>
                <w:sz w:val="22"/>
                <w:lang w:val="es-ES"/>
              </w:rPr>
              <w:t>representante de la Oficina de Radiocomunicaciones</w:t>
            </w:r>
            <w:r w:rsidRPr="005907DC">
              <w:rPr>
                <w:sz w:val="22"/>
                <w:lang w:val="es-ES"/>
              </w:rPr>
              <w:t xml:space="preserve"> dice que, en respuesta a una petición de la Administración de Transición de las Naciones Unidas para Timor Oriental (UNTAET), el Grupo de Trabajo 1 de la Plenaria propone que se prevea la inclusión </w:t>
            </w:r>
            <w:r w:rsidRPr="005907DC">
              <w:rPr>
                <w:sz w:val="22"/>
                <w:lang w:val="es-ES"/>
              </w:rPr>
              <w:lastRenderedPageBreak/>
              <w:t>en el ejercicio de replanificación del SRS de un haz de tamaño mínimo para Timor Oriental.</w:t>
            </w:r>
          </w:p>
          <w:p w14:paraId="5D90F957" w14:textId="77777777" w:rsidR="00967792" w:rsidRPr="005907DC" w:rsidRDefault="00967792" w:rsidP="00B53355">
            <w:pPr>
              <w:spacing w:before="40" w:after="40"/>
              <w:rPr>
                <w:sz w:val="22"/>
                <w:lang w:val="es-ES"/>
              </w:rPr>
            </w:pPr>
            <w:r w:rsidRPr="005907DC">
              <w:rPr>
                <w:sz w:val="22"/>
                <w:lang w:val="es-ES"/>
              </w:rPr>
              <w:t>8.2</w:t>
            </w:r>
            <w:r w:rsidRPr="005907DC">
              <w:rPr>
                <w:sz w:val="22"/>
                <w:lang w:val="es-ES"/>
              </w:rPr>
              <w:tab/>
              <w:t xml:space="preserve">Así se </w:t>
            </w:r>
            <w:r w:rsidRPr="005907DC">
              <w:rPr>
                <w:b/>
                <w:bCs/>
                <w:sz w:val="22"/>
                <w:lang w:val="es-ES"/>
              </w:rPr>
              <w:t>acuerda</w:t>
            </w:r>
            <w:r w:rsidRPr="005907DC">
              <w:rPr>
                <w:sz w:val="22"/>
                <w:lang w:val="es-ES"/>
              </w:rPr>
              <w:t>.</w:t>
            </w:r>
          </w:p>
        </w:tc>
        <w:tc>
          <w:tcPr>
            <w:tcW w:w="1548" w:type="pct"/>
          </w:tcPr>
          <w:p w14:paraId="126C8D3E" w14:textId="36848E9D" w:rsidR="00967792" w:rsidRPr="00A616CA" w:rsidRDefault="00967792" w:rsidP="00B53355">
            <w:pPr>
              <w:pStyle w:val="Tabletext"/>
              <w:rPr>
                <w:lang w:val="es-ES"/>
              </w:rPr>
            </w:pPr>
            <w:r w:rsidRPr="00A616CA">
              <w:rPr>
                <w:lang w:val="es-ES"/>
              </w:rPr>
              <w:lastRenderedPageBreak/>
              <w:t>La CMR</w:t>
            </w:r>
            <w:r w:rsidRPr="00A616CA">
              <w:rPr>
                <w:lang w:val="es-ES"/>
              </w:rPr>
              <w:noBreakHyphen/>
              <w:t>2000 incluyó TMP00000 en los Planes, y luego se cambió su nombre a TLS00000</w:t>
            </w:r>
            <w:r w:rsidR="006D6884">
              <w:rPr>
                <w:lang w:val="es-ES"/>
              </w:rPr>
              <w:t>.</w:t>
            </w:r>
          </w:p>
        </w:tc>
      </w:tr>
      <w:tr w:rsidR="00967792" w:rsidRPr="00D2027A" w14:paraId="5BC7C623" w14:textId="77777777" w:rsidTr="00924C8B">
        <w:tblPrEx>
          <w:tblLook w:val="04A0" w:firstRow="1" w:lastRow="0" w:firstColumn="1" w:lastColumn="0" w:noHBand="0" w:noVBand="1"/>
        </w:tblPrEx>
        <w:trPr>
          <w:jc w:val="center"/>
        </w:trPr>
        <w:tc>
          <w:tcPr>
            <w:tcW w:w="183" w:type="pct"/>
          </w:tcPr>
          <w:p w14:paraId="050341D0" w14:textId="77777777" w:rsidR="00967792" w:rsidRPr="00A616CA" w:rsidRDefault="00967792" w:rsidP="00B53355">
            <w:pPr>
              <w:pStyle w:val="Tabletext"/>
              <w:rPr>
                <w:lang w:val="es-ES"/>
              </w:rPr>
            </w:pPr>
            <w:r w:rsidRPr="00A616CA">
              <w:rPr>
                <w:lang w:val="es-ES"/>
              </w:rPr>
              <w:t>4</w:t>
            </w:r>
          </w:p>
        </w:tc>
        <w:tc>
          <w:tcPr>
            <w:tcW w:w="434" w:type="pct"/>
          </w:tcPr>
          <w:p w14:paraId="69007AB0" w14:textId="77777777" w:rsidR="00967792" w:rsidRPr="00A616CA" w:rsidRDefault="00967792" w:rsidP="00924C8B">
            <w:pPr>
              <w:pStyle w:val="Tabletext"/>
              <w:ind w:right="-57"/>
              <w:rPr>
                <w:lang w:val="es-ES"/>
              </w:rPr>
            </w:pPr>
            <w:r w:rsidRPr="00A616CA">
              <w:rPr>
                <w:lang w:val="es-ES"/>
              </w:rPr>
              <w:t>CMR-2000</w:t>
            </w:r>
          </w:p>
        </w:tc>
        <w:tc>
          <w:tcPr>
            <w:tcW w:w="523" w:type="pct"/>
          </w:tcPr>
          <w:p w14:paraId="1F4BE0B2" w14:textId="4D7C2939" w:rsidR="00967792" w:rsidRPr="00D2027A" w:rsidRDefault="00967792" w:rsidP="00B53355">
            <w:pPr>
              <w:pStyle w:val="Tabletext"/>
              <w:rPr>
                <w:rFonts w:asciiTheme="majorBidi" w:eastAsia="Malgun Gothic" w:hAnsiTheme="majorBidi" w:cstheme="majorBidi"/>
                <w:bCs/>
                <w:lang w:val="es-ES" w:eastAsia="ko-KR"/>
              </w:rPr>
            </w:pPr>
            <w:r w:rsidRPr="00D2027A">
              <w:rPr>
                <w:rFonts w:asciiTheme="majorBidi" w:eastAsia="Malgun Gothic" w:hAnsiTheme="majorBidi" w:cstheme="majorBidi"/>
                <w:bCs/>
                <w:lang w:val="es-ES" w:eastAsia="ko-KR"/>
              </w:rPr>
              <w:t xml:space="preserve">8ª </w:t>
            </w:r>
            <w:r w:rsidRPr="00A616CA">
              <w:rPr>
                <w:lang w:val="es-ES"/>
              </w:rPr>
              <w:t>Plenaria</w:t>
            </w:r>
            <w:r w:rsidRPr="00D2027A">
              <w:rPr>
                <w:rFonts w:asciiTheme="majorBidi" w:eastAsia="Malgun Gothic" w:hAnsiTheme="majorBidi" w:cstheme="majorBidi"/>
                <w:bCs/>
                <w:lang w:val="es-ES" w:eastAsia="ko-KR"/>
              </w:rPr>
              <w:br/>
            </w:r>
            <w:hyperlink r:id="rId19" w:history="1">
              <w:r w:rsidRPr="00D2027A">
                <w:rPr>
                  <w:rStyle w:val="Hyperlink"/>
                  <w:rFonts w:asciiTheme="majorBidi" w:eastAsia="Malgun Gothic" w:hAnsiTheme="majorBidi" w:cstheme="majorBidi"/>
                  <w:bCs/>
                  <w:lang w:val="es-ES" w:eastAsia="ko-KR"/>
                </w:rPr>
                <w:t>Doc. 537</w:t>
              </w:r>
            </w:hyperlink>
          </w:p>
        </w:tc>
        <w:tc>
          <w:tcPr>
            <w:tcW w:w="2312" w:type="pct"/>
          </w:tcPr>
          <w:p w14:paraId="3CF7D425" w14:textId="621804EE" w:rsidR="00967792" w:rsidRPr="005907DC" w:rsidRDefault="00967792" w:rsidP="00B53355">
            <w:pPr>
              <w:pStyle w:val="Heading1"/>
              <w:spacing w:before="40" w:after="40"/>
              <w:outlineLvl w:val="0"/>
              <w:rPr>
                <w:sz w:val="22"/>
                <w:lang w:val="es-ES"/>
              </w:rPr>
            </w:pPr>
            <w:r w:rsidRPr="005907DC">
              <w:rPr>
                <w:sz w:val="22"/>
                <w:lang w:val="es-ES"/>
              </w:rPr>
              <w:t>6</w:t>
            </w:r>
            <w:r w:rsidRPr="005907DC">
              <w:rPr>
                <w:sz w:val="22"/>
                <w:lang w:val="es-ES"/>
              </w:rPr>
              <w:tab/>
              <w:t xml:space="preserve">Consideración del proyecto de Resolución [COM4/9] sobre la utilización del </w:t>
            </w:r>
            <w:r w:rsidR="00251EE1" w:rsidRPr="005907DC">
              <w:rPr>
                <w:sz w:val="22"/>
                <w:lang w:val="es-ES"/>
              </w:rPr>
              <w:t>Apéndice </w:t>
            </w:r>
            <w:r w:rsidRPr="005907DC">
              <w:rPr>
                <w:sz w:val="22"/>
                <w:lang w:val="es-ES"/>
              </w:rPr>
              <w:t xml:space="preserve">S4, en lugar del </w:t>
            </w:r>
            <w:r w:rsidR="00251EE1" w:rsidRPr="005907DC">
              <w:rPr>
                <w:sz w:val="22"/>
                <w:lang w:val="es-ES"/>
              </w:rPr>
              <w:t>Anexo </w:t>
            </w:r>
            <w:r w:rsidRPr="005907DC">
              <w:rPr>
                <w:sz w:val="22"/>
                <w:lang w:val="es-ES"/>
              </w:rPr>
              <w:t xml:space="preserve">2, en aplicación del </w:t>
            </w:r>
            <w:r w:rsidR="00251EE1" w:rsidRPr="005907DC">
              <w:rPr>
                <w:sz w:val="22"/>
                <w:lang w:val="es-ES"/>
              </w:rPr>
              <w:t>Apéndice </w:t>
            </w:r>
            <w:r w:rsidRPr="005907DC">
              <w:rPr>
                <w:sz w:val="22"/>
                <w:lang w:val="es-ES"/>
              </w:rPr>
              <w:t>S30B (Documento 484)</w:t>
            </w:r>
          </w:p>
          <w:p w14:paraId="0A927439" w14:textId="171E648D" w:rsidR="00967792" w:rsidRPr="005907DC" w:rsidRDefault="00967792" w:rsidP="00B53355">
            <w:pPr>
              <w:spacing w:before="40" w:after="40"/>
              <w:rPr>
                <w:sz w:val="22"/>
                <w:lang w:val="es-ES"/>
              </w:rPr>
            </w:pPr>
            <w:r w:rsidRPr="005907DC">
              <w:rPr>
                <w:sz w:val="22"/>
                <w:lang w:val="es-ES"/>
              </w:rPr>
              <w:t>6.1</w:t>
            </w:r>
            <w:r w:rsidRPr="005907DC">
              <w:rPr>
                <w:sz w:val="22"/>
                <w:lang w:val="es-ES"/>
              </w:rPr>
              <w:tab/>
              <w:t xml:space="preserve">El </w:t>
            </w:r>
            <w:r w:rsidRPr="005907DC">
              <w:rPr>
                <w:b/>
                <w:bCs/>
                <w:sz w:val="22"/>
                <w:lang w:val="es-ES"/>
              </w:rPr>
              <w:t>Presidente de la Comisión 4</w:t>
            </w:r>
            <w:r w:rsidRPr="005907DC">
              <w:rPr>
                <w:sz w:val="22"/>
                <w:lang w:val="es-ES"/>
              </w:rPr>
              <w:t xml:space="preserve"> recuerda que el Grupo de Trabajo 1 de la Plenaria ha propuesto utilizar el </w:t>
            </w:r>
            <w:r w:rsidR="00251EE1" w:rsidRPr="005907DC">
              <w:rPr>
                <w:sz w:val="22"/>
                <w:lang w:val="es-ES"/>
              </w:rPr>
              <w:t xml:space="preserve">Apéndice </w:t>
            </w:r>
            <w:r w:rsidRPr="00251EE1">
              <w:rPr>
                <w:b/>
                <w:bCs/>
                <w:sz w:val="22"/>
                <w:lang w:val="es-ES"/>
              </w:rPr>
              <w:t>S4</w:t>
            </w:r>
            <w:r w:rsidRPr="005907DC">
              <w:rPr>
                <w:sz w:val="22"/>
                <w:lang w:val="es-ES"/>
              </w:rPr>
              <w:t xml:space="preserve"> para las notificaciones presentadas con arreglo a los </w:t>
            </w:r>
            <w:r w:rsidR="00251EE1" w:rsidRPr="005907DC">
              <w:rPr>
                <w:sz w:val="22"/>
                <w:lang w:val="es-ES"/>
              </w:rPr>
              <w:t>Apéndices </w:t>
            </w:r>
            <w:r w:rsidRPr="00251EE1">
              <w:rPr>
                <w:b/>
                <w:bCs/>
                <w:sz w:val="22"/>
                <w:lang w:val="es-ES"/>
              </w:rPr>
              <w:t>S30</w:t>
            </w:r>
            <w:r w:rsidRPr="005907DC">
              <w:rPr>
                <w:sz w:val="22"/>
                <w:lang w:val="es-ES"/>
              </w:rPr>
              <w:t xml:space="preserve"> y </w:t>
            </w:r>
            <w:r w:rsidRPr="00251EE1">
              <w:rPr>
                <w:b/>
                <w:bCs/>
                <w:sz w:val="22"/>
                <w:lang w:val="es-ES"/>
              </w:rPr>
              <w:t>S30B</w:t>
            </w:r>
            <w:r w:rsidRPr="005907DC">
              <w:rPr>
                <w:sz w:val="22"/>
                <w:lang w:val="es-ES"/>
              </w:rPr>
              <w:t xml:space="preserve">. En consecuencia, la aprobación del proyecto de Resolución </w:t>
            </w:r>
            <w:r w:rsidRPr="00251EE1">
              <w:rPr>
                <w:b/>
                <w:bCs/>
                <w:sz w:val="22"/>
                <w:lang w:val="es-ES"/>
              </w:rPr>
              <w:t>[COM4/9]</w:t>
            </w:r>
            <w:r w:rsidRPr="005907DC">
              <w:rPr>
                <w:sz w:val="22"/>
                <w:lang w:val="es-ES"/>
              </w:rPr>
              <w:t xml:space="preserve"> haría posible armonizar la estructura de los datos relativos a los servicios espaciales.</w:t>
            </w:r>
          </w:p>
          <w:p w14:paraId="2F816DF3" w14:textId="77777777" w:rsidR="00967792" w:rsidRPr="005907DC" w:rsidRDefault="00967792" w:rsidP="00B53355">
            <w:pPr>
              <w:spacing w:before="40" w:after="40"/>
              <w:rPr>
                <w:sz w:val="22"/>
                <w:lang w:val="es-ES"/>
              </w:rPr>
            </w:pPr>
            <w:r w:rsidRPr="005907DC">
              <w:rPr>
                <w:sz w:val="22"/>
                <w:lang w:val="es-ES"/>
              </w:rPr>
              <w:t>6.2</w:t>
            </w:r>
            <w:r w:rsidRPr="005907DC">
              <w:rPr>
                <w:sz w:val="22"/>
                <w:lang w:val="es-ES"/>
              </w:rPr>
              <w:tab/>
              <w:t xml:space="preserve">El </w:t>
            </w:r>
            <w:r w:rsidRPr="005907DC">
              <w:rPr>
                <w:b/>
                <w:bCs/>
                <w:sz w:val="22"/>
                <w:lang w:val="es-ES"/>
              </w:rPr>
              <w:t>delegado de Arabia Saudita</w:t>
            </w:r>
            <w:r w:rsidRPr="005907DC">
              <w:rPr>
                <w:sz w:val="22"/>
                <w:lang w:val="es-ES"/>
              </w:rPr>
              <w:t xml:space="preserve"> pregunta por qué la Resolución se ha dirigido a la BR y no a la RRB.</w:t>
            </w:r>
          </w:p>
          <w:p w14:paraId="1363C272" w14:textId="77777777" w:rsidR="00967792" w:rsidRPr="005907DC" w:rsidRDefault="00967792" w:rsidP="00B53355">
            <w:pPr>
              <w:spacing w:before="40" w:after="40"/>
              <w:rPr>
                <w:sz w:val="22"/>
                <w:lang w:val="es-ES"/>
              </w:rPr>
            </w:pPr>
            <w:r w:rsidRPr="005907DC">
              <w:rPr>
                <w:sz w:val="22"/>
                <w:lang w:val="es-ES"/>
              </w:rPr>
              <w:t>6.3</w:t>
            </w:r>
            <w:r w:rsidRPr="005907DC">
              <w:rPr>
                <w:sz w:val="22"/>
                <w:lang w:val="es-ES"/>
              </w:rPr>
              <w:tab/>
              <w:t xml:space="preserve">El </w:t>
            </w:r>
            <w:r w:rsidRPr="005907DC">
              <w:rPr>
                <w:b/>
                <w:bCs/>
                <w:sz w:val="22"/>
                <w:lang w:val="es-ES"/>
              </w:rPr>
              <w:t>delegado de Marruecos</w:t>
            </w:r>
            <w:r w:rsidRPr="005907DC">
              <w:rPr>
                <w:sz w:val="22"/>
                <w:lang w:val="es-ES"/>
              </w:rPr>
              <w:t xml:space="preserve"> dice que cuando se trató este asunto, la Delegación de su país consideró innecesario elaborar una Resolución al efecto y que era suficiente registrar la decisión de la Conferencia sobre este tema en las actas de una Sesión Plenaria. Por lo tanto, propuso que el texto del </w:t>
            </w:r>
            <w:r w:rsidRPr="005907DC">
              <w:rPr>
                <w:i/>
                <w:iCs/>
                <w:sz w:val="22"/>
                <w:lang w:val="es-ES"/>
              </w:rPr>
              <w:t>resuelve</w:t>
            </w:r>
            <w:r w:rsidRPr="005907DC">
              <w:rPr>
                <w:sz w:val="22"/>
                <w:lang w:val="es-ES"/>
              </w:rPr>
              <w:t xml:space="preserve"> del proyecto de Resolución se incluyese en las actas de la presente reunión para que dijera lo siguiente:</w:t>
            </w:r>
          </w:p>
          <w:p w14:paraId="7527479B" w14:textId="6370200E" w:rsidR="00967792" w:rsidRPr="005907DC" w:rsidRDefault="00967792" w:rsidP="00B53355">
            <w:pPr>
              <w:spacing w:before="40" w:after="40"/>
              <w:ind w:left="329" w:hanging="329"/>
              <w:rPr>
                <w:sz w:val="22"/>
                <w:lang w:val="es-ES"/>
              </w:rPr>
            </w:pPr>
            <w:r w:rsidRPr="005907DC">
              <w:rPr>
                <w:sz w:val="22"/>
                <w:lang w:val="es-ES"/>
              </w:rPr>
              <w:tab/>
              <w:t xml:space="preserve">«La Conferencia pide a la BR que adopte una Regla de Procedimiento por la que solicite a las administraciones que utilicen el </w:t>
            </w:r>
            <w:r w:rsidR="00251EE1" w:rsidRPr="005907DC">
              <w:rPr>
                <w:sz w:val="22"/>
                <w:lang w:val="es-ES"/>
              </w:rPr>
              <w:t>Apéndice </w:t>
            </w:r>
            <w:r w:rsidRPr="00251EE1">
              <w:rPr>
                <w:b/>
                <w:bCs/>
                <w:sz w:val="22"/>
                <w:lang w:val="es-ES"/>
              </w:rPr>
              <w:t>S4</w:t>
            </w:r>
            <w:r w:rsidRPr="005907DC">
              <w:rPr>
                <w:sz w:val="22"/>
                <w:lang w:val="es-ES"/>
              </w:rPr>
              <w:t xml:space="preserve"> cuando suministren los datos básicos relativos a las estaciones del servicio fijo por satélite en aplicación del </w:t>
            </w:r>
            <w:r w:rsidR="00251EE1" w:rsidRPr="005907DC">
              <w:rPr>
                <w:sz w:val="22"/>
                <w:lang w:val="es-ES"/>
              </w:rPr>
              <w:t>Apéndice </w:t>
            </w:r>
            <w:r w:rsidRPr="00251EE1">
              <w:rPr>
                <w:b/>
                <w:bCs/>
                <w:sz w:val="22"/>
                <w:lang w:val="es-ES"/>
              </w:rPr>
              <w:t>S30B</w:t>
            </w:r>
            <w:r w:rsidRPr="005907DC">
              <w:rPr>
                <w:sz w:val="22"/>
                <w:lang w:val="es-ES"/>
              </w:rPr>
              <w:t>».</w:t>
            </w:r>
          </w:p>
          <w:p w14:paraId="7EF30E59" w14:textId="77777777" w:rsidR="00967792" w:rsidRPr="005907DC" w:rsidRDefault="00967792" w:rsidP="00B53355">
            <w:pPr>
              <w:spacing w:before="40" w:after="40"/>
              <w:rPr>
                <w:sz w:val="22"/>
                <w:lang w:val="es-ES"/>
              </w:rPr>
            </w:pPr>
            <w:r w:rsidRPr="005907DC">
              <w:rPr>
                <w:sz w:val="22"/>
                <w:lang w:val="es-ES"/>
              </w:rPr>
              <w:t>6.4</w:t>
            </w:r>
            <w:r w:rsidRPr="005907DC">
              <w:rPr>
                <w:sz w:val="22"/>
                <w:lang w:val="es-ES"/>
              </w:rPr>
              <w:tab/>
              <w:t>La RRB podría tomar entonces las medidas que considere necesarias y las administraciones podrían expresar libremente su oposición.</w:t>
            </w:r>
          </w:p>
          <w:p w14:paraId="4D7A7513" w14:textId="77777777" w:rsidR="00967792" w:rsidRPr="005907DC" w:rsidRDefault="00967792" w:rsidP="00B53355">
            <w:pPr>
              <w:spacing w:before="40" w:after="40"/>
              <w:rPr>
                <w:sz w:val="22"/>
                <w:lang w:val="es-ES"/>
              </w:rPr>
            </w:pPr>
            <w:r w:rsidRPr="005907DC">
              <w:rPr>
                <w:sz w:val="22"/>
                <w:lang w:val="es-ES"/>
              </w:rPr>
              <w:t>6.5</w:t>
            </w:r>
            <w:r w:rsidRPr="005907DC">
              <w:rPr>
                <w:sz w:val="22"/>
                <w:lang w:val="es-ES"/>
              </w:rPr>
              <w:tab/>
              <w:t xml:space="preserve">El </w:t>
            </w:r>
            <w:r w:rsidRPr="005907DC">
              <w:rPr>
                <w:b/>
                <w:bCs/>
                <w:sz w:val="22"/>
                <w:lang w:val="es-ES"/>
              </w:rPr>
              <w:t>Presidente</w:t>
            </w:r>
            <w:r w:rsidRPr="005907DC">
              <w:rPr>
                <w:sz w:val="22"/>
                <w:lang w:val="es-ES"/>
              </w:rPr>
              <w:t xml:space="preserve"> propone que la Plenaria adopte el texto leído por el delegado de Marruecos evitando así la adopción de una Resolución sobre el tema.</w:t>
            </w:r>
          </w:p>
          <w:p w14:paraId="6DEA46C5" w14:textId="77777777" w:rsidR="00967792" w:rsidRPr="005907DC" w:rsidRDefault="00967792" w:rsidP="00B53355">
            <w:pPr>
              <w:spacing w:before="40" w:after="40"/>
              <w:rPr>
                <w:sz w:val="22"/>
                <w:lang w:val="es-ES"/>
              </w:rPr>
            </w:pPr>
            <w:r w:rsidRPr="005907DC">
              <w:rPr>
                <w:sz w:val="22"/>
                <w:lang w:val="es-ES"/>
              </w:rPr>
              <w:t>6.6</w:t>
            </w:r>
            <w:r w:rsidRPr="005907DC">
              <w:rPr>
                <w:sz w:val="22"/>
                <w:lang w:val="es-ES"/>
              </w:rPr>
              <w:tab/>
              <w:t xml:space="preserve">Así se </w:t>
            </w:r>
            <w:r w:rsidRPr="005907DC">
              <w:rPr>
                <w:b/>
                <w:bCs/>
                <w:sz w:val="22"/>
                <w:lang w:val="es-ES"/>
              </w:rPr>
              <w:t>acuerda</w:t>
            </w:r>
            <w:r w:rsidRPr="005907DC">
              <w:rPr>
                <w:sz w:val="22"/>
                <w:lang w:val="es-ES"/>
              </w:rPr>
              <w:t>.</w:t>
            </w:r>
          </w:p>
        </w:tc>
        <w:tc>
          <w:tcPr>
            <w:tcW w:w="1548" w:type="pct"/>
          </w:tcPr>
          <w:p w14:paraId="7BC7C81F" w14:textId="58455FE8" w:rsidR="00967792" w:rsidRPr="00D2027A" w:rsidRDefault="00967792" w:rsidP="00B53355">
            <w:pPr>
              <w:pStyle w:val="Tabletext"/>
              <w:rPr>
                <w:rFonts w:asciiTheme="majorBidi" w:hAnsiTheme="majorBidi" w:cstheme="majorBidi"/>
                <w:szCs w:val="24"/>
                <w:lang w:val="es-ES"/>
              </w:rPr>
            </w:pPr>
            <w:r w:rsidRPr="00D2027A">
              <w:rPr>
                <w:rFonts w:asciiTheme="majorBidi" w:hAnsiTheme="majorBidi" w:cstheme="majorBidi"/>
                <w:szCs w:val="24"/>
                <w:lang w:val="es-ES"/>
              </w:rPr>
              <w:t xml:space="preserve">En la 20ª </w:t>
            </w:r>
            <w:r w:rsidR="00D156CD">
              <w:rPr>
                <w:rFonts w:asciiTheme="majorBidi" w:hAnsiTheme="majorBidi" w:cstheme="majorBidi"/>
                <w:szCs w:val="24"/>
                <w:lang w:val="es-ES"/>
              </w:rPr>
              <w:t>r</w:t>
            </w:r>
            <w:r w:rsidRPr="00D2027A">
              <w:rPr>
                <w:rFonts w:asciiTheme="majorBidi" w:hAnsiTheme="majorBidi" w:cstheme="majorBidi"/>
                <w:szCs w:val="24"/>
                <w:lang w:val="es-ES"/>
              </w:rPr>
              <w:t xml:space="preserve">eunión de la RRB (11-15 de </w:t>
            </w:r>
            <w:r w:rsidRPr="00266695">
              <w:rPr>
                <w:lang w:val="es-ES"/>
              </w:rPr>
              <w:t>septiembre</w:t>
            </w:r>
            <w:r w:rsidRPr="00D2027A">
              <w:rPr>
                <w:rFonts w:asciiTheme="majorBidi" w:hAnsiTheme="majorBidi" w:cstheme="majorBidi"/>
                <w:szCs w:val="24"/>
                <w:lang w:val="es-ES"/>
              </w:rPr>
              <w:t xml:space="preserve"> de 2000) se adoptó una nueva Regla de Procedimiento en la que se ruega a las administraciones que utilicen el </w:t>
            </w:r>
            <w:r w:rsidRPr="00A616CA">
              <w:rPr>
                <w:lang w:val="es-ES"/>
              </w:rPr>
              <w:t>Apéndice</w:t>
            </w:r>
            <w:r w:rsidRPr="00D2027A">
              <w:rPr>
                <w:rFonts w:asciiTheme="majorBidi" w:hAnsiTheme="majorBidi" w:cstheme="majorBidi"/>
                <w:szCs w:val="24"/>
                <w:lang w:val="es-ES"/>
              </w:rPr>
              <w:t> </w:t>
            </w:r>
            <w:r w:rsidRPr="005907DC">
              <w:rPr>
                <w:rFonts w:asciiTheme="majorBidi" w:hAnsiTheme="majorBidi" w:cstheme="majorBidi"/>
                <w:b/>
                <w:bCs/>
                <w:szCs w:val="24"/>
                <w:lang w:val="es-ES"/>
              </w:rPr>
              <w:t>S4</w:t>
            </w:r>
            <w:r w:rsidRPr="00D2027A">
              <w:rPr>
                <w:rFonts w:asciiTheme="majorBidi" w:hAnsiTheme="majorBidi" w:cstheme="majorBidi"/>
                <w:szCs w:val="24"/>
                <w:lang w:val="es-ES"/>
              </w:rPr>
              <w:t xml:space="preserve"> al presentar datos sobre las estaciones del servicio fijo por satélite sujetas al Apéndice </w:t>
            </w:r>
            <w:r w:rsidRPr="005907DC">
              <w:rPr>
                <w:rFonts w:asciiTheme="majorBidi" w:hAnsiTheme="majorBidi" w:cstheme="majorBidi"/>
                <w:b/>
                <w:bCs/>
                <w:szCs w:val="24"/>
                <w:lang w:val="es-ES"/>
              </w:rPr>
              <w:t>S30B</w:t>
            </w:r>
            <w:r w:rsidRPr="00D2027A">
              <w:rPr>
                <w:rFonts w:asciiTheme="majorBidi" w:hAnsiTheme="majorBidi" w:cstheme="majorBidi"/>
                <w:szCs w:val="24"/>
                <w:lang w:val="es-ES"/>
              </w:rPr>
              <w:t xml:space="preserve"> (</w:t>
            </w:r>
            <w:hyperlink r:id="rId20" w:history="1">
              <w:r w:rsidRPr="00D2027A">
                <w:rPr>
                  <w:rStyle w:val="Hyperlink"/>
                  <w:rFonts w:asciiTheme="majorBidi" w:hAnsiTheme="majorBidi" w:cstheme="majorBidi"/>
                  <w:szCs w:val="24"/>
                  <w:lang w:val="es-ES"/>
                </w:rPr>
                <w:t>CR/151</w:t>
              </w:r>
            </w:hyperlink>
            <w:r w:rsidRPr="00D2027A">
              <w:rPr>
                <w:rFonts w:asciiTheme="majorBidi" w:hAnsiTheme="majorBidi" w:cstheme="majorBidi"/>
                <w:szCs w:val="24"/>
                <w:lang w:val="es-ES"/>
              </w:rPr>
              <w:t>)</w:t>
            </w:r>
          </w:p>
          <w:p w14:paraId="51AFAE8A" w14:textId="165FF4EE" w:rsidR="00967792" w:rsidRPr="00D2027A" w:rsidRDefault="00967792" w:rsidP="00B53355">
            <w:pPr>
              <w:pStyle w:val="Tabletext"/>
              <w:rPr>
                <w:rFonts w:asciiTheme="majorBidi" w:hAnsiTheme="majorBidi" w:cstheme="majorBidi"/>
                <w:szCs w:val="24"/>
                <w:lang w:val="es-ES"/>
              </w:rPr>
            </w:pPr>
            <w:r w:rsidRPr="00A616CA">
              <w:rPr>
                <w:lang w:val="es-ES"/>
              </w:rPr>
              <w:t>En</w:t>
            </w:r>
            <w:r w:rsidRPr="00D2027A">
              <w:rPr>
                <w:rFonts w:asciiTheme="majorBidi" w:hAnsiTheme="majorBidi" w:cstheme="majorBidi"/>
                <w:szCs w:val="24"/>
                <w:lang w:val="es-ES"/>
              </w:rPr>
              <w:t xml:space="preserve"> la CMR</w:t>
            </w:r>
            <w:r w:rsidRPr="00D2027A">
              <w:rPr>
                <w:rFonts w:asciiTheme="majorBidi" w:hAnsiTheme="majorBidi" w:cstheme="majorBidi"/>
                <w:szCs w:val="24"/>
                <w:lang w:val="es-ES"/>
              </w:rPr>
              <w:noBreakHyphen/>
              <w:t xml:space="preserve">03 se sustituyó el Anexo 2 del </w:t>
            </w:r>
            <w:r w:rsidRPr="00266695">
              <w:rPr>
                <w:lang w:val="es-ES"/>
              </w:rPr>
              <w:t>Apéndice</w:t>
            </w:r>
            <w:r w:rsidRPr="00D2027A">
              <w:rPr>
                <w:rFonts w:asciiTheme="majorBidi" w:hAnsiTheme="majorBidi" w:cstheme="majorBidi"/>
                <w:szCs w:val="24"/>
                <w:lang w:val="es-ES"/>
              </w:rPr>
              <w:t> </w:t>
            </w:r>
            <w:r w:rsidRPr="005907DC">
              <w:rPr>
                <w:rFonts w:asciiTheme="majorBidi" w:hAnsiTheme="majorBidi" w:cstheme="majorBidi"/>
                <w:b/>
                <w:bCs/>
                <w:szCs w:val="24"/>
                <w:lang w:val="es-ES"/>
              </w:rPr>
              <w:t>30B</w:t>
            </w:r>
            <w:r w:rsidRPr="00D2027A">
              <w:rPr>
                <w:rFonts w:asciiTheme="majorBidi" w:hAnsiTheme="majorBidi" w:cstheme="majorBidi"/>
                <w:szCs w:val="24"/>
                <w:lang w:val="es-ES"/>
              </w:rPr>
              <w:t xml:space="preserve"> por el Apéndice </w:t>
            </w:r>
            <w:r w:rsidRPr="005907DC">
              <w:rPr>
                <w:rFonts w:asciiTheme="majorBidi" w:hAnsiTheme="majorBidi" w:cstheme="majorBidi"/>
                <w:b/>
                <w:bCs/>
                <w:szCs w:val="24"/>
                <w:lang w:val="es-ES"/>
              </w:rPr>
              <w:t>4</w:t>
            </w:r>
            <w:r w:rsidRPr="00D2027A">
              <w:rPr>
                <w:rFonts w:asciiTheme="majorBidi" w:hAnsiTheme="majorBidi" w:cstheme="majorBidi"/>
                <w:szCs w:val="24"/>
                <w:lang w:val="es-ES"/>
              </w:rPr>
              <w:t xml:space="preserve"> al RR</w:t>
            </w:r>
            <w:r w:rsidR="006D6884">
              <w:rPr>
                <w:rFonts w:asciiTheme="majorBidi" w:hAnsiTheme="majorBidi" w:cstheme="majorBidi"/>
                <w:szCs w:val="24"/>
                <w:lang w:val="es-ES"/>
              </w:rPr>
              <w:t>.</w:t>
            </w:r>
          </w:p>
        </w:tc>
      </w:tr>
      <w:tr w:rsidR="00967792" w:rsidRPr="00D2027A" w14:paraId="04DEE088" w14:textId="77777777" w:rsidTr="00924C8B">
        <w:tblPrEx>
          <w:tblLook w:val="04A0" w:firstRow="1" w:lastRow="0" w:firstColumn="1" w:lastColumn="0" w:noHBand="0" w:noVBand="1"/>
        </w:tblPrEx>
        <w:trPr>
          <w:jc w:val="center"/>
        </w:trPr>
        <w:tc>
          <w:tcPr>
            <w:tcW w:w="183" w:type="pct"/>
          </w:tcPr>
          <w:p w14:paraId="1A091D09" w14:textId="77777777" w:rsidR="00967792" w:rsidRPr="00A616CA" w:rsidRDefault="00967792" w:rsidP="00B53355">
            <w:pPr>
              <w:pStyle w:val="Tabletext"/>
              <w:rPr>
                <w:lang w:val="es-ES"/>
              </w:rPr>
            </w:pPr>
            <w:r w:rsidRPr="00A616CA">
              <w:rPr>
                <w:lang w:val="es-ES"/>
              </w:rPr>
              <w:lastRenderedPageBreak/>
              <w:t>5</w:t>
            </w:r>
          </w:p>
        </w:tc>
        <w:tc>
          <w:tcPr>
            <w:tcW w:w="434" w:type="pct"/>
          </w:tcPr>
          <w:p w14:paraId="6AABA075" w14:textId="77777777" w:rsidR="00967792" w:rsidRPr="00A616CA" w:rsidRDefault="00967792" w:rsidP="00924C8B">
            <w:pPr>
              <w:pStyle w:val="Tabletext"/>
              <w:ind w:right="-57"/>
              <w:rPr>
                <w:lang w:val="es-ES"/>
              </w:rPr>
            </w:pPr>
            <w:r w:rsidRPr="00A616CA">
              <w:rPr>
                <w:lang w:val="es-ES"/>
              </w:rPr>
              <w:t>CMR-2000</w:t>
            </w:r>
          </w:p>
        </w:tc>
        <w:tc>
          <w:tcPr>
            <w:tcW w:w="523" w:type="pct"/>
          </w:tcPr>
          <w:p w14:paraId="51F14934" w14:textId="79554CF9" w:rsidR="00967792" w:rsidRPr="00D2027A" w:rsidRDefault="00967792" w:rsidP="00B53355">
            <w:pPr>
              <w:pStyle w:val="Tabletext"/>
              <w:rPr>
                <w:rFonts w:asciiTheme="majorBidi" w:eastAsia="Malgun Gothic" w:hAnsiTheme="majorBidi" w:cstheme="majorBidi"/>
                <w:bCs/>
                <w:lang w:val="es-ES" w:eastAsia="ko-KR"/>
              </w:rPr>
            </w:pPr>
            <w:r w:rsidRPr="00D2027A">
              <w:rPr>
                <w:rFonts w:asciiTheme="majorBidi" w:eastAsia="Malgun Gothic" w:hAnsiTheme="majorBidi" w:cstheme="majorBidi"/>
                <w:bCs/>
                <w:lang w:val="es-ES" w:eastAsia="ko-KR"/>
              </w:rPr>
              <w:t>9ª Plenaria</w:t>
            </w:r>
            <w:r w:rsidRPr="00D2027A">
              <w:rPr>
                <w:rFonts w:asciiTheme="majorBidi" w:eastAsia="Malgun Gothic" w:hAnsiTheme="majorBidi" w:cstheme="majorBidi"/>
                <w:bCs/>
                <w:lang w:val="es-ES" w:eastAsia="ko-KR"/>
              </w:rPr>
              <w:br/>
            </w:r>
            <w:hyperlink r:id="rId21" w:history="1">
              <w:r w:rsidRPr="00D2027A">
                <w:rPr>
                  <w:rStyle w:val="Hyperlink"/>
                  <w:rFonts w:asciiTheme="majorBidi" w:eastAsia="Malgun Gothic" w:hAnsiTheme="majorBidi" w:cstheme="majorBidi"/>
                  <w:bCs/>
                  <w:lang w:val="es-ES" w:eastAsia="ko-KR"/>
                </w:rPr>
                <w:t>Doc. 538</w:t>
              </w:r>
            </w:hyperlink>
          </w:p>
        </w:tc>
        <w:tc>
          <w:tcPr>
            <w:tcW w:w="2312" w:type="pct"/>
          </w:tcPr>
          <w:p w14:paraId="30922D54" w14:textId="6258BE16" w:rsidR="00967792" w:rsidRPr="005907DC" w:rsidRDefault="00967792" w:rsidP="00B53355">
            <w:pPr>
              <w:spacing w:before="40" w:after="40"/>
              <w:rPr>
                <w:sz w:val="22"/>
                <w:lang w:val="es-ES"/>
              </w:rPr>
            </w:pPr>
            <w:r w:rsidRPr="005907DC">
              <w:rPr>
                <w:sz w:val="22"/>
                <w:lang w:val="es-ES"/>
              </w:rPr>
              <w:t>3.38</w:t>
            </w:r>
            <w:r w:rsidRPr="005907DC">
              <w:rPr>
                <w:sz w:val="22"/>
                <w:lang w:val="es-ES"/>
              </w:rPr>
              <w:tab/>
              <w:t xml:space="preserve">El </w:t>
            </w:r>
            <w:r w:rsidRPr="005907DC">
              <w:rPr>
                <w:b/>
                <w:bCs/>
                <w:sz w:val="22"/>
                <w:lang w:val="es-ES"/>
              </w:rPr>
              <w:t>representante de la Oficina de Radiocomunicaciones</w:t>
            </w:r>
            <w:r w:rsidRPr="005907DC">
              <w:rPr>
                <w:sz w:val="22"/>
                <w:lang w:val="es-ES"/>
              </w:rPr>
              <w:t xml:space="preserve"> dice que las tareas asignadas por la conferencia a la Oficina de Radiocomunicaciones en virtud del </w:t>
            </w:r>
            <w:r w:rsidR="00251EE1" w:rsidRPr="005907DC">
              <w:rPr>
                <w:sz w:val="22"/>
                <w:lang w:val="es-ES"/>
              </w:rPr>
              <w:t>Artículo </w:t>
            </w:r>
            <w:r w:rsidRPr="00251EE1">
              <w:rPr>
                <w:b/>
                <w:bCs/>
                <w:sz w:val="22"/>
                <w:lang w:val="es-ES"/>
              </w:rPr>
              <w:t>6</w:t>
            </w:r>
            <w:r w:rsidRPr="005907DC">
              <w:rPr>
                <w:sz w:val="22"/>
                <w:lang w:val="es-ES"/>
              </w:rPr>
              <w:t xml:space="preserve"> entrañan un volumen de trabajo considerable. A fin de no seguir aumentando la carga de trabajo, la BR no examinará las solicitudes de coordinación, notificación y publicación de asignaciones de frecuencias a estaciones terrenales con carácter retroactivo, esto es, las que se reciban antes del 3 de junio de 2000, fecha de clausura de la conferencia. Para que quede bien claro, sugiere que se modifique el § 6.2.1</w:t>
            </w:r>
            <w:r w:rsidRPr="005907DC">
              <w:rPr>
                <w:i/>
                <w:iCs/>
                <w:sz w:val="22"/>
                <w:lang w:val="es-ES"/>
              </w:rPr>
              <w:t>c)</w:t>
            </w:r>
            <w:r w:rsidRPr="005907DC">
              <w:rPr>
                <w:sz w:val="22"/>
                <w:lang w:val="es-ES"/>
              </w:rPr>
              <w:t xml:space="preserve"> del siguiente modo: «asignaciones para las cuales se ha iniciado el procedimiento del </w:t>
            </w:r>
            <w:r w:rsidR="005907DC" w:rsidRPr="005907DC">
              <w:rPr>
                <w:sz w:val="22"/>
                <w:lang w:val="es-ES"/>
              </w:rPr>
              <w:t>Artículo </w:t>
            </w:r>
            <w:r w:rsidRPr="005907DC">
              <w:rPr>
                <w:b/>
                <w:bCs/>
                <w:sz w:val="22"/>
                <w:lang w:val="es-ES"/>
              </w:rPr>
              <w:t>4</w:t>
            </w:r>
            <w:r w:rsidRPr="005907DC">
              <w:rPr>
                <w:sz w:val="22"/>
                <w:lang w:val="es-ES"/>
              </w:rPr>
              <w:t xml:space="preserve"> del presente apéndice después del 3 de junio de 2000, y se ha recibido la información completa del </w:t>
            </w:r>
            <w:r w:rsidR="005907DC" w:rsidRPr="005907DC">
              <w:rPr>
                <w:sz w:val="22"/>
                <w:lang w:val="es-ES"/>
              </w:rPr>
              <w:t xml:space="preserve">Apéndice </w:t>
            </w:r>
            <w:r w:rsidRPr="005907DC">
              <w:rPr>
                <w:b/>
                <w:bCs/>
                <w:sz w:val="22"/>
                <w:lang w:val="es-ES"/>
              </w:rPr>
              <w:t>S4</w:t>
            </w:r>
            <w:r w:rsidRPr="005907DC">
              <w:rPr>
                <w:sz w:val="22"/>
                <w:lang w:val="es-ES"/>
              </w:rPr>
              <w:t xml:space="preserve"> con arreglo al § 4.1 ó 4.2».</w:t>
            </w:r>
          </w:p>
          <w:p w14:paraId="72E1B665" w14:textId="77777777" w:rsidR="00967792" w:rsidRPr="005907DC" w:rsidRDefault="00967792" w:rsidP="00B53355">
            <w:pPr>
              <w:spacing w:before="40" w:after="40"/>
              <w:rPr>
                <w:sz w:val="22"/>
                <w:lang w:val="es-ES"/>
              </w:rPr>
            </w:pPr>
            <w:r w:rsidRPr="005907DC">
              <w:rPr>
                <w:sz w:val="22"/>
                <w:lang w:val="es-ES"/>
              </w:rPr>
              <w:t>3.39</w:t>
            </w:r>
            <w:r w:rsidRPr="005907DC">
              <w:rPr>
                <w:sz w:val="22"/>
                <w:lang w:val="es-ES"/>
              </w:rPr>
              <w:tab/>
              <w:t xml:space="preserve">El </w:t>
            </w:r>
            <w:r w:rsidRPr="005907DC">
              <w:rPr>
                <w:b/>
                <w:bCs/>
                <w:sz w:val="22"/>
                <w:lang w:val="es-ES"/>
              </w:rPr>
              <w:t>delegado de Marruecos</w:t>
            </w:r>
            <w:r w:rsidRPr="005907DC">
              <w:rPr>
                <w:sz w:val="22"/>
                <w:lang w:val="es-ES"/>
              </w:rPr>
              <w:t xml:space="preserve"> reconoce el problema de la Oficina, pero teme que la enmienda propuesta induzca a pensar que la situación es diferente con respecto a otros artículos. Por tanto, sugiere que en lugar de modificar el texto del § 6.2.1</w:t>
            </w:r>
            <w:r w:rsidRPr="005907DC">
              <w:rPr>
                <w:i/>
                <w:iCs/>
                <w:sz w:val="22"/>
                <w:lang w:val="es-ES"/>
              </w:rPr>
              <w:t>c)</w:t>
            </w:r>
            <w:r w:rsidRPr="005907DC">
              <w:rPr>
                <w:sz w:val="22"/>
                <w:lang w:val="es-ES"/>
              </w:rPr>
              <w:t xml:space="preserve">, se haga constar en actas que, salvo indicación en contrario en las Actas Finales, los procedimientos adoptados por la conferencia se aplicarán a las solicitudes de coordinación, notificación o publicación recibidas después del 3 de junio de 2000. El </w:t>
            </w:r>
            <w:r w:rsidRPr="005907DC">
              <w:rPr>
                <w:b/>
                <w:bCs/>
                <w:sz w:val="22"/>
                <w:lang w:val="es-ES"/>
              </w:rPr>
              <w:t>delegado de los Estados Unidos</w:t>
            </w:r>
            <w:r w:rsidRPr="005907DC">
              <w:rPr>
                <w:sz w:val="22"/>
                <w:lang w:val="es-ES"/>
              </w:rPr>
              <w:t xml:space="preserve"> hace suya esa sugerencia.</w:t>
            </w:r>
          </w:p>
          <w:p w14:paraId="581F3A73" w14:textId="77777777" w:rsidR="00967792" w:rsidRPr="005907DC" w:rsidRDefault="00967792" w:rsidP="00B53355">
            <w:pPr>
              <w:spacing w:before="40" w:after="40"/>
              <w:rPr>
                <w:sz w:val="22"/>
                <w:lang w:val="es-ES"/>
              </w:rPr>
            </w:pPr>
            <w:r w:rsidRPr="005907DC">
              <w:rPr>
                <w:sz w:val="22"/>
                <w:lang w:val="es-ES"/>
              </w:rPr>
              <w:t>3.40</w:t>
            </w:r>
            <w:r w:rsidRPr="005907DC">
              <w:rPr>
                <w:sz w:val="22"/>
                <w:lang w:val="es-ES"/>
              </w:rPr>
              <w:tab/>
              <w:t xml:space="preserve">Así se </w:t>
            </w:r>
            <w:r w:rsidRPr="005907DC">
              <w:rPr>
                <w:b/>
                <w:bCs/>
                <w:sz w:val="22"/>
                <w:lang w:val="es-ES"/>
              </w:rPr>
              <w:t>acuerda</w:t>
            </w:r>
            <w:r w:rsidRPr="005907DC">
              <w:rPr>
                <w:sz w:val="22"/>
                <w:lang w:val="es-ES"/>
              </w:rPr>
              <w:t>.</w:t>
            </w:r>
          </w:p>
        </w:tc>
        <w:tc>
          <w:tcPr>
            <w:tcW w:w="1548" w:type="pct"/>
          </w:tcPr>
          <w:p w14:paraId="717DDEF2" w14:textId="5876DF2C" w:rsidR="00967792" w:rsidRPr="00266695" w:rsidRDefault="00967792" w:rsidP="00B53355">
            <w:pPr>
              <w:pStyle w:val="Tabletext"/>
              <w:rPr>
                <w:lang w:val="es-ES"/>
              </w:rPr>
            </w:pPr>
          </w:p>
        </w:tc>
      </w:tr>
      <w:tr w:rsidR="00967792" w:rsidRPr="00D2027A" w14:paraId="61D516E0" w14:textId="77777777" w:rsidTr="00924C8B">
        <w:tblPrEx>
          <w:tblLook w:val="04A0" w:firstRow="1" w:lastRow="0" w:firstColumn="1" w:lastColumn="0" w:noHBand="0" w:noVBand="1"/>
        </w:tblPrEx>
        <w:trPr>
          <w:jc w:val="center"/>
        </w:trPr>
        <w:tc>
          <w:tcPr>
            <w:tcW w:w="183" w:type="pct"/>
          </w:tcPr>
          <w:p w14:paraId="75586332" w14:textId="77777777" w:rsidR="00967792" w:rsidRPr="00A616CA" w:rsidRDefault="00967792" w:rsidP="00B53355">
            <w:pPr>
              <w:pStyle w:val="Tabletext"/>
              <w:rPr>
                <w:lang w:val="es-ES"/>
              </w:rPr>
            </w:pPr>
            <w:r w:rsidRPr="00A616CA">
              <w:rPr>
                <w:lang w:val="es-ES"/>
              </w:rPr>
              <w:t>6</w:t>
            </w:r>
          </w:p>
        </w:tc>
        <w:tc>
          <w:tcPr>
            <w:tcW w:w="434" w:type="pct"/>
          </w:tcPr>
          <w:p w14:paraId="5AE2724B" w14:textId="77777777" w:rsidR="00967792" w:rsidRPr="00A616CA" w:rsidRDefault="00967792" w:rsidP="00924C8B">
            <w:pPr>
              <w:pStyle w:val="Tabletext"/>
              <w:ind w:right="-57"/>
              <w:rPr>
                <w:lang w:val="es-ES"/>
              </w:rPr>
            </w:pPr>
            <w:r w:rsidRPr="00A616CA">
              <w:rPr>
                <w:lang w:val="es-ES"/>
              </w:rPr>
              <w:t>CMR-2000</w:t>
            </w:r>
          </w:p>
        </w:tc>
        <w:tc>
          <w:tcPr>
            <w:tcW w:w="523" w:type="pct"/>
          </w:tcPr>
          <w:p w14:paraId="2029E3E8" w14:textId="6D848E1D" w:rsidR="00967792" w:rsidRPr="00D2027A" w:rsidRDefault="00967792" w:rsidP="00B53355">
            <w:pPr>
              <w:pStyle w:val="Tabletext"/>
              <w:rPr>
                <w:rFonts w:asciiTheme="majorBidi" w:eastAsia="Malgun Gothic" w:hAnsiTheme="majorBidi" w:cstheme="majorBidi"/>
                <w:bCs/>
                <w:lang w:val="es-ES" w:eastAsia="ko-KR"/>
              </w:rPr>
            </w:pPr>
            <w:r w:rsidRPr="00D2027A">
              <w:rPr>
                <w:rFonts w:asciiTheme="majorBidi" w:eastAsia="Malgun Gothic" w:hAnsiTheme="majorBidi" w:cstheme="majorBidi"/>
                <w:bCs/>
                <w:lang w:val="es-ES" w:eastAsia="ko-KR"/>
              </w:rPr>
              <w:t>10ª Plenaria</w:t>
            </w:r>
            <w:r w:rsidRPr="00D2027A">
              <w:rPr>
                <w:rFonts w:asciiTheme="majorBidi" w:eastAsia="Malgun Gothic" w:hAnsiTheme="majorBidi" w:cstheme="majorBidi"/>
                <w:bCs/>
                <w:lang w:val="es-ES" w:eastAsia="ko-KR"/>
              </w:rPr>
              <w:br/>
            </w:r>
            <w:hyperlink r:id="rId22" w:history="1">
              <w:r w:rsidRPr="00D2027A">
                <w:rPr>
                  <w:rStyle w:val="Hyperlink"/>
                  <w:rFonts w:asciiTheme="majorBidi" w:eastAsia="Malgun Gothic" w:hAnsiTheme="majorBidi" w:cstheme="majorBidi"/>
                  <w:bCs/>
                  <w:lang w:val="es-ES" w:eastAsia="ko-KR"/>
                </w:rPr>
                <w:t>Doc. 539</w:t>
              </w:r>
            </w:hyperlink>
          </w:p>
        </w:tc>
        <w:tc>
          <w:tcPr>
            <w:tcW w:w="2312" w:type="pct"/>
          </w:tcPr>
          <w:p w14:paraId="0218F1E8" w14:textId="77777777" w:rsidR="00967792" w:rsidRPr="005907DC" w:rsidRDefault="00967792" w:rsidP="00B53355">
            <w:pPr>
              <w:spacing w:before="40" w:after="40"/>
              <w:rPr>
                <w:sz w:val="22"/>
                <w:lang w:val="es-ES"/>
              </w:rPr>
            </w:pPr>
            <w:r w:rsidRPr="005907DC">
              <w:rPr>
                <w:sz w:val="22"/>
                <w:lang w:val="es-ES"/>
              </w:rPr>
              <w:t>10.116</w:t>
            </w:r>
            <w:r w:rsidRPr="005907DC">
              <w:rPr>
                <w:sz w:val="22"/>
                <w:lang w:val="es-ES"/>
              </w:rPr>
              <w:tab/>
              <w:t xml:space="preserve">El </w:t>
            </w:r>
            <w:r w:rsidRPr="005907DC">
              <w:rPr>
                <w:b/>
                <w:bCs/>
                <w:sz w:val="22"/>
                <w:lang w:val="es-ES"/>
              </w:rPr>
              <w:t>delegado de Argelia</w:t>
            </w:r>
            <w:r w:rsidRPr="005907DC">
              <w:rPr>
                <w:sz w:val="22"/>
                <w:lang w:val="es-ES"/>
              </w:rPr>
              <w:t xml:space="preserve"> solicita al Secretario General que evalúe e informe sobre todas las decisiones tomadas por la presente conferencia que tienen relación directa con la CMR</w:t>
            </w:r>
            <w:r w:rsidRPr="005907DC">
              <w:rPr>
                <w:sz w:val="22"/>
                <w:lang w:val="es-ES"/>
              </w:rPr>
              <w:noBreakHyphen/>
              <w:t>03 y que presente un Informe al Consejo para asegurar que todas las decisiones de la CMR</w:t>
            </w:r>
            <w:r w:rsidRPr="005907DC">
              <w:rPr>
                <w:sz w:val="22"/>
                <w:lang w:val="es-ES"/>
              </w:rPr>
              <w:noBreakHyphen/>
              <w:t>2000 se tienen en cuenta en el trabajo de la próxima conferencia.</w:t>
            </w:r>
          </w:p>
          <w:p w14:paraId="120514B8" w14:textId="77777777" w:rsidR="00967792" w:rsidRPr="005907DC" w:rsidRDefault="00967792" w:rsidP="00B53355">
            <w:pPr>
              <w:spacing w:before="40" w:after="40"/>
              <w:rPr>
                <w:sz w:val="22"/>
                <w:lang w:val="es-ES"/>
              </w:rPr>
            </w:pPr>
            <w:r w:rsidRPr="005907DC">
              <w:rPr>
                <w:sz w:val="22"/>
                <w:lang w:val="es-ES"/>
              </w:rPr>
              <w:t>10.117</w:t>
            </w:r>
            <w:r w:rsidRPr="005907DC">
              <w:rPr>
                <w:sz w:val="22"/>
                <w:lang w:val="es-ES"/>
              </w:rPr>
              <w:tab/>
              <w:t xml:space="preserve">El </w:t>
            </w:r>
            <w:r w:rsidRPr="005907DC">
              <w:rPr>
                <w:b/>
                <w:bCs/>
                <w:sz w:val="22"/>
                <w:lang w:val="es-ES"/>
              </w:rPr>
              <w:t>Secretario General</w:t>
            </w:r>
            <w:r w:rsidRPr="005907DC">
              <w:rPr>
                <w:sz w:val="22"/>
                <w:lang w:val="es-ES"/>
              </w:rPr>
              <w:t xml:space="preserve"> dice que así se hará.</w:t>
            </w:r>
          </w:p>
        </w:tc>
        <w:tc>
          <w:tcPr>
            <w:tcW w:w="1548" w:type="pct"/>
          </w:tcPr>
          <w:p w14:paraId="479CB4E9" w14:textId="5EFAD3D2" w:rsidR="00967792" w:rsidRPr="00D2027A" w:rsidRDefault="00967792" w:rsidP="00B53355">
            <w:pPr>
              <w:pStyle w:val="Tabletext"/>
              <w:rPr>
                <w:rFonts w:asciiTheme="majorBidi" w:hAnsiTheme="majorBidi" w:cstheme="majorBidi"/>
                <w:szCs w:val="24"/>
                <w:lang w:val="es-ES"/>
              </w:rPr>
            </w:pPr>
            <w:r w:rsidRPr="00A616CA">
              <w:rPr>
                <w:lang w:val="es-ES"/>
              </w:rPr>
              <w:t>Documentos</w:t>
            </w:r>
            <w:r w:rsidRPr="00D2027A">
              <w:rPr>
                <w:rFonts w:asciiTheme="majorBidi" w:hAnsiTheme="majorBidi" w:cstheme="majorBidi"/>
                <w:szCs w:val="24"/>
                <w:lang w:val="es-ES"/>
              </w:rPr>
              <w:t xml:space="preserve"> del Consejo </w:t>
            </w:r>
            <w:hyperlink r:id="rId23" w:history="1">
              <w:r w:rsidRPr="00D2027A">
                <w:rPr>
                  <w:rStyle w:val="Hyperlink"/>
                  <w:rFonts w:asciiTheme="majorBidi" w:hAnsiTheme="majorBidi" w:cstheme="majorBidi"/>
                  <w:szCs w:val="24"/>
                  <w:lang w:val="es-ES"/>
                </w:rPr>
                <w:t>C2000/35-E</w:t>
              </w:r>
            </w:hyperlink>
            <w:r w:rsidRPr="00D2027A">
              <w:rPr>
                <w:rFonts w:asciiTheme="majorBidi" w:hAnsiTheme="majorBidi" w:cstheme="majorBidi"/>
                <w:szCs w:val="24"/>
                <w:lang w:val="es-ES"/>
              </w:rPr>
              <w:t xml:space="preserve"> y </w:t>
            </w:r>
            <w:r w:rsidRPr="00D2027A">
              <w:rPr>
                <w:rFonts w:asciiTheme="majorBidi" w:hAnsiTheme="majorBidi" w:cstheme="majorBidi"/>
                <w:szCs w:val="24"/>
                <w:lang w:val="es-ES"/>
              </w:rPr>
              <w:br/>
            </w:r>
            <w:hyperlink r:id="rId24" w:history="1">
              <w:r w:rsidRPr="00D2027A">
                <w:rPr>
                  <w:rStyle w:val="Hyperlink"/>
                  <w:rFonts w:asciiTheme="majorBidi" w:hAnsiTheme="majorBidi" w:cstheme="majorBidi"/>
                  <w:szCs w:val="24"/>
                  <w:lang w:val="es-ES"/>
                </w:rPr>
                <w:t>C2001/35-E</w:t>
              </w:r>
            </w:hyperlink>
          </w:p>
        </w:tc>
      </w:tr>
      <w:tr w:rsidR="00967792" w:rsidRPr="00D2027A" w14:paraId="2B37F4D0" w14:textId="77777777" w:rsidTr="00251EE1">
        <w:tblPrEx>
          <w:tblLook w:val="04A0" w:firstRow="1" w:lastRow="0" w:firstColumn="1" w:lastColumn="0" w:noHBand="0" w:noVBand="1"/>
        </w:tblPrEx>
        <w:trPr>
          <w:cantSplit/>
          <w:jc w:val="center"/>
        </w:trPr>
        <w:tc>
          <w:tcPr>
            <w:tcW w:w="183" w:type="pct"/>
          </w:tcPr>
          <w:p w14:paraId="46DB6D1C" w14:textId="77777777" w:rsidR="00967792" w:rsidRPr="00A616CA" w:rsidRDefault="00967792" w:rsidP="00B53355">
            <w:pPr>
              <w:pStyle w:val="Tabletext"/>
              <w:rPr>
                <w:lang w:val="es-ES"/>
              </w:rPr>
            </w:pPr>
            <w:r w:rsidRPr="00A616CA">
              <w:rPr>
                <w:lang w:val="es-ES"/>
              </w:rPr>
              <w:lastRenderedPageBreak/>
              <w:t>7</w:t>
            </w:r>
          </w:p>
        </w:tc>
        <w:tc>
          <w:tcPr>
            <w:tcW w:w="434" w:type="pct"/>
          </w:tcPr>
          <w:p w14:paraId="6AF5ADED" w14:textId="77777777" w:rsidR="00967792" w:rsidRPr="00A616CA" w:rsidRDefault="00967792" w:rsidP="00924C8B">
            <w:pPr>
              <w:pStyle w:val="Tabletext"/>
              <w:ind w:right="-57"/>
              <w:rPr>
                <w:lang w:val="es-ES"/>
              </w:rPr>
            </w:pPr>
            <w:r w:rsidRPr="00A616CA">
              <w:rPr>
                <w:lang w:val="es-ES"/>
              </w:rPr>
              <w:t>CMR-2000</w:t>
            </w:r>
          </w:p>
        </w:tc>
        <w:tc>
          <w:tcPr>
            <w:tcW w:w="523" w:type="pct"/>
          </w:tcPr>
          <w:p w14:paraId="1A7E8C4C" w14:textId="3B9C05BF" w:rsidR="00967792" w:rsidRPr="00D2027A" w:rsidRDefault="00967792" w:rsidP="00B53355">
            <w:pPr>
              <w:pStyle w:val="Tabletext"/>
              <w:rPr>
                <w:rFonts w:asciiTheme="majorBidi" w:eastAsia="Malgun Gothic" w:hAnsiTheme="majorBidi" w:cstheme="majorBidi"/>
                <w:bCs/>
                <w:lang w:val="es-ES" w:eastAsia="ko-KR"/>
              </w:rPr>
            </w:pPr>
            <w:r w:rsidRPr="00D2027A">
              <w:rPr>
                <w:rFonts w:asciiTheme="majorBidi" w:eastAsia="Malgun Gothic" w:hAnsiTheme="majorBidi" w:cstheme="majorBidi"/>
                <w:bCs/>
                <w:lang w:val="es-ES" w:eastAsia="ko-KR"/>
              </w:rPr>
              <w:t xml:space="preserve">11ª </w:t>
            </w:r>
            <w:r w:rsidRPr="00A616CA">
              <w:rPr>
                <w:lang w:val="es-ES"/>
              </w:rPr>
              <w:t>Plenaria</w:t>
            </w:r>
            <w:r w:rsidRPr="00D2027A">
              <w:rPr>
                <w:rFonts w:asciiTheme="majorBidi" w:eastAsia="Malgun Gothic" w:hAnsiTheme="majorBidi" w:cstheme="majorBidi"/>
                <w:bCs/>
                <w:lang w:val="es-ES" w:eastAsia="ko-KR"/>
              </w:rPr>
              <w:br/>
            </w:r>
            <w:hyperlink r:id="rId25" w:history="1">
              <w:r w:rsidRPr="00D2027A">
                <w:rPr>
                  <w:rStyle w:val="Hyperlink"/>
                  <w:rFonts w:asciiTheme="majorBidi" w:eastAsia="Malgun Gothic" w:hAnsiTheme="majorBidi" w:cstheme="majorBidi"/>
                  <w:bCs/>
                  <w:lang w:val="es-ES" w:eastAsia="ko-KR"/>
                </w:rPr>
                <w:t>Doc. 540</w:t>
              </w:r>
            </w:hyperlink>
          </w:p>
        </w:tc>
        <w:tc>
          <w:tcPr>
            <w:tcW w:w="2312" w:type="pct"/>
          </w:tcPr>
          <w:p w14:paraId="03D8F4BD" w14:textId="77777777" w:rsidR="00967792" w:rsidRPr="004D1BF3" w:rsidRDefault="00967792" w:rsidP="00B53355">
            <w:pPr>
              <w:spacing w:before="40" w:after="40"/>
              <w:rPr>
                <w:sz w:val="22"/>
                <w:lang w:val="es-ES"/>
              </w:rPr>
            </w:pPr>
            <w:r w:rsidRPr="004D1BF3">
              <w:rPr>
                <w:b/>
                <w:bCs/>
                <w:sz w:val="22"/>
                <w:lang w:val="es-ES"/>
              </w:rPr>
              <w:t>Apéndice S5 (ADD Cuadro S5-1)</w:t>
            </w:r>
          </w:p>
          <w:p w14:paraId="3531A1D2" w14:textId="7CCDA133" w:rsidR="00967792" w:rsidRPr="004D1BF3" w:rsidRDefault="00967792" w:rsidP="00B53355">
            <w:pPr>
              <w:spacing w:before="40" w:after="40"/>
              <w:rPr>
                <w:sz w:val="22"/>
                <w:lang w:val="es-ES"/>
              </w:rPr>
            </w:pPr>
            <w:r w:rsidRPr="004D1BF3">
              <w:rPr>
                <w:sz w:val="22"/>
                <w:lang w:val="es-ES"/>
              </w:rPr>
              <w:t>7.37</w:t>
            </w:r>
            <w:r w:rsidRPr="004D1BF3">
              <w:rPr>
                <w:sz w:val="22"/>
                <w:lang w:val="es-ES"/>
              </w:rPr>
              <w:tab/>
              <w:t>El</w:t>
            </w:r>
            <w:r w:rsidRPr="004D1BF3">
              <w:rPr>
                <w:b/>
                <w:bCs/>
                <w:sz w:val="22"/>
                <w:lang w:val="es-ES"/>
              </w:rPr>
              <w:t xml:space="preserve"> delegado de Canadá</w:t>
            </w:r>
            <w:r w:rsidRPr="004D1BF3">
              <w:rPr>
                <w:sz w:val="22"/>
                <w:lang w:val="es-ES"/>
              </w:rPr>
              <w:t xml:space="preserve">, refiriéndose al MOD </w:t>
            </w:r>
            <w:r w:rsidR="004D1BF3" w:rsidRPr="004D1BF3">
              <w:rPr>
                <w:sz w:val="22"/>
                <w:lang w:val="es-ES"/>
              </w:rPr>
              <w:t>Cuadro </w:t>
            </w:r>
            <w:r w:rsidRPr="004D1BF3">
              <w:rPr>
                <w:b/>
                <w:bCs/>
                <w:sz w:val="22"/>
                <w:lang w:val="es-ES"/>
              </w:rPr>
              <w:t>S5</w:t>
            </w:r>
            <w:r w:rsidRPr="004D1BF3">
              <w:rPr>
                <w:b/>
                <w:bCs/>
                <w:sz w:val="22"/>
                <w:lang w:val="es-ES"/>
              </w:rPr>
              <w:noBreakHyphen/>
              <w:t>1A</w:t>
            </w:r>
            <w:r w:rsidRPr="004D1BF3">
              <w:rPr>
                <w:sz w:val="22"/>
                <w:lang w:val="es-ES"/>
              </w:rPr>
              <w:t>, dice que la Comisión 4 no ha tenido tiempo de realizar todas las actualizaciones necesarias. Existen dos posibilidades: o bien se conserva el cuadro por razones «históricas», aunque haya dejado de estar en conformidad con la edición más reciente del Reglamento de Radiocomunicaciones, o se suprime, siendo ésta la alternativa que parecen preferir muchas delegaciones.</w:t>
            </w:r>
          </w:p>
          <w:p w14:paraId="4C19C0BE" w14:textId="77777777" w:rsidR="00967792" w:rsidRPr="004D1BF3" w:rsidRDefault="00967792" w:rsidP="00B53355">
            <w:pPr>
              <w:spacing w:before="40" w:after="40"/>
              <w:rPr>
                <w:sz w:val="22"/>
                <w:lang w:val="es-ES"/>
              </w:rPr>
            </w:pPr>
            <w:r w:rsidRPr="004D1BF3">
              <w:rPr>
                <w:sz w:val="22"/>
                <w:lang w:val="es-ES"/>
              </w:rPr>
              <w:t>7.38</w:t>
            </w:r>
            <w:r w:rsidRPr="004D1BF3">
              <w:rPr>
                <w:sz w:val="22"/>
                <w:lang w:val="es-ES"/>
              </w:rPr>
              <w:tab/>
              <w:t xml:space="preserve">El </w:t>
            </w:r>
            <w:r w:rsidRPr="004D1BF3">
              <w:rPr>
                <w:b/>
                <w:bCs/>
                <w:sz w:val="22"/>
                <w:lang w:val="es-ES"/>
              </w:rPr>
              <w:t xml:space="preserve">representante de la Oficina de Radiocomunicaciones </w:t>
            </w:r>
            <w:r w:rsidRPr="004D1BF3">
              <w:rPr>
                <w:sz w:val="22"/>
                <w:lang w:val="es-ES"/>
              </w:rPr>
              <w:t>dice que el cuadro se actualizará e incluirá en la Regla de Procedimiento sobre el número </w:t>
            </w:r>
            <w:r w:rsidRPr="004D1BF3">
              <w:rPr>
                <w:b/>
                <w:bCs/>
                <w:sz w:val="22"/>
                <w:lang w:val="es-ES"/>
              </w:rPr>
              <w:t>S9.11.A</w:t>
            </w:r>
            <w:r w:rsidRPr="004D1BF3">
              <w:rPr>
                <w:sz w:val="22"/>
                <w:lang w:val="es-ES"/>
              </w:rPr>
              <w:t xml:space="preserve"> y que, por tanto, se puede suprimir del Apéndice </w:t>
            </w:r>
            <w:r w:rsidRPr="004D1BF3">
              <w:rPr>
                <w:b/>
                <w:bCs/>
                <w:sz w:val="22"/>
                <w:lang w:val="es-ES"/>
              </w:rPr>
              <w:t>S5</w:t>
            </w:r>
            <w:r w:rsidRPr="004D1BF3">
              <w:rPr>
                <w:sz w:val="22"/>
                <w:lang w:val="es-ES"/>
              </w:rPr>
              <w:t>.</w:t>
            </w:r>
          </w:p>
          <w:p w14:paraId="13040F7E" w14:textId="77777777" w:rsidR="00967792" w:rsidRPr="004D1BF3" w:rsidRDefault="00967792" w:rsidP="00B53355">
            <w:pPr>
              <w:spacing w:before="40" w:after="40"/>
              <w:rPr>
                <w:sz w:val="22"/>
                <w:lang w:val="es-ES"/>
              </w:rPr>
            </w:pPr>
            <w:r w:rsidRPr="004D1BF3">
              <w:rPr>
                <w:sz w:val="22"/>
                <w:lang w:val="es-ES"/>
              </w:rPr>
              <w:t>7.39</w:t>
            </w:r>
            <w:r w:rsidRPr="004D1BF3">
              <w:rPr>
                <w:sz w:val="22"/>
                <w:lang w:val="es-ES"/>
              </w:rPr>
              <w:tab/>
              <w:t xml:space="preserve">El </w:t>
            </w:r>
            <w:r w:rsidRPr="004D1BF3">
              <w:rPr>
                <w:b/>
                <w:bCs/>
                <w:sz w:val="22"/>
                <w:lang w:val="es-ES"/>
              </w:rPr>
              <w:t>Presidente</w:t>
            </w:r>
            <w:r w:rsidRPr="004D1BF3">
              <w:rPr>
                <w:sz w:val="22"/>
                <w:lang w:val="es-ES"/>
              </w:rPr>
              <w:t xml:space="preserve"> propone que se suprima el cuadro y, de acuerdo con la petición del </w:t>
            </w:r>
            <w:r w:rsidRPr="004D1BF3">
              <w:rPr>
                <w:b/>
                <w:bCs/>
                <w:sz w:val="22"/>
                <w:lang w:val="es-ES"/>
              </w:rPr>
              <w:t>delegado de Francia</w:t>
            </w:r>
            <w:r w:rsidRPr="004D1BF3">
              <w:rPr>
                <w:sz w:val="22"/>
                <w:lang w:val="es-ES"/>
              </w:rPr>
              <w:t>, que se encargue a la Oficina de Radiocomunicaciones y a la Junta del Reglamento de Radiocomunicaciones que preparen una Regla de Procedimiento que permita actualizar el cuadro.</w:t>
            </w:r>
          </w:p>
          <w:p w14:paraId="1DD31FC7" w14:textId="77777777" w:rsidR="00967792" w:rsidRPr="004D1BF3" w:rsidRDefault="00967792" w:rsidP="00B53355">
            <w:pPr>
              <w:spacing w:before="40" w:after="40"/>
              <w:rPr>
                <w:sz w:val="22"/>
                <w:lang w:val="es-ES"/>
              </w:rPr>
            </w:pPr>
            <w:r w:rsidRPr="004D1BF3">
              <w:rPr>
                <w:sz w:val="22"/>
                <w:lang w:val="es-ES"/>
              </w:rPr>
              <w:t>7.40</w:t>
            </w:r>
            <w:r w:rsidRPr="004D1BF3">
              <w:rPr>
                <w:sz w:val="22"/>
                <w:lang w:val="es-ES"/>
              </w:rPr>
              <w:tab/>
              <w:t xml:space="preserve">Así se </w:t>
            </w:r>
            <w:r w:rsidRPr="004D1BF3">
              <w:rPr>
                <w:b/>
                <w:bCs/>
                <w:sz w:val="22"/>
                <w:lang w:val="es-ES"/>
              </w:rPr>
              <w:t>acuerda</w:t>
            </w:r>
            <w:r w:rsidRPr="004D1BF3">
              <w:rPr>
                <w:sz w:val="22"/>
                <w:lang w:val="es-ES"/>
              </w:rPr>
              <w:t>.</w:t>
            </w:r>
          </w:p>
        </w:tc>
        <w:tc>
          <w:tcPr>
            <w:tcW w:w="1548" w:type="pct"/>
          </w:tcPr>
          <w:p w14:paraId="48ADD93C" w14:textId="29A85C4D" w:rsidR="00967792" w:rsidRPr="00D2027A" w:rsidRDefault="00967792" w:rsidP="00B53355">
            <w:pPr>
              <w:pStyle w:val="Tabletext"/>
              <w:rPr>
                <w:rFonts w:asciiTheme="majorBidi" w:hAnsiTheme="majorBidi" w:cstheme="majorBidi"/>
                <w:szCs w:val="24"/>
                <w:lang w:val="es-ES"/>
              </w:rPr>
            </w:pPr>
            <w:r w:rsidRPr="00D2027A">
              <w:rPr>
                <w:rFonts w:asciiTheme="majorBidi" w:hAnsiTheme="majorBidi" w:cstheme="majorBidi"/>
                <w:szCs w:val="24"/>
                <w:lang w:val="es-ES"/>
              </w:rPr>
              <w:t xml:space="preserve">En la 24ª </w:t>
            </w:r>
            <w:r w:rsidR="00D156CD">
              <w:rPr>
                <w:rFonts w:asciiTheme="majorBidi" w:hAnsiTheme="majorBidi" w:cstheme="majorBidi"/>
                <w:szCs w:val="24"/>
                <w:lang w:val="es-ES"/>
              </w:rPr>
              <w:t>r</w:t>
            </w:r>
            <w:r w:rsidRPr="00D2027A">
              <w:rPr>
                <w:rFonts w:asciiTheme="majorBidi" w:hAnsiTheme="majorBidi" w:cstheme="majorBidi"/>
                <w:szCs w:val="24"/>
                <w:lang w:val="es-ES"/>
              </w:rPr>
              <w:t xml:space="preserve">eunión de la RRB (10-18 de </w:t>
            </w:r>
            <w:r w:rsidRPr="00A616CA">
              <w:rPr>
                <w:lang w:val="es-ES"/>
              </w:rPr>
              <w:t>septiembre</w:t>
            </w:r>
            <w:r w:rsidRPr="00D2027A">
              <w:rPr>
                <w:rFonts w:asciiTheme="majorBidi" w:hAnsiTheme="majorBidi" w:cstheme="majorBidi"/>
                <w:szCs w:val="24"/>
                <w:lang w:val="es-ES"/>
              </w:rPr>
              <w:t xml:space="preserve"> de 2001) se adoptó una Regla de Procedimiento modificada relativa a </w:t>
            </w:r>
            <w:r w:rsidRPr="00251EE1">
              <w:rPr>
                <w:rFonts w:asciiTheme="majorBidi" w:hAnsiTheme="majorBidi" w:cstheme="majorBidi"/>
                <w:b/>
                <w:bCs/>
                <w:szCs w:val="24"/>
                <w:lang w:val="es-ES"/>
              </w:rPr>
              <w:t>S9.11A</w:t>
            </w:r>
            <w:r w:rsidRPr="00D2027A">
              <w:rPr>
                <w:rFonts w:asciiTheme="majorBidi" w:hAnsiTheme="majorBidi" w:cstheme="majorBidi"/>
                <w:szCs w:val="24"/>
                <w:lang w:val="es-ES"/>
              </w:rPr>
              <w:t>, comprendidos cuadros sobre la aplicabilidad de los números </w:t>
            </w:r>
            <w:r w:rsidRPr="00251EE1">
              <w:rPr>
                <w:rFonts w:asciiTheme="majorBidi" w:hAnsiTheme="majorBidi" w:cstheme="majorBidi"/>
                <w:b/>
                <w:bCs/>
                <w:szCs w:val="24"/>
                <w:lang w:val="es-ES"/>
              </w:rPr>
              <w:t>9.11A</w:t>
            </w:r>
            <w:r w:rsidRPr="00251EE1">
              <w:rPr>
                <w:rFonts w:asciiTheme="majorBidi" w:hAnsiTheme="majorBidi" w:cstheme="majorBidi"/>
                <w:b/>
                <w:bCs/>
                <w:szCs w:val="24"/>
                <w:lang w:val="es-ES"/>
              </w:rPr>
              <w:noBreakHyphen/>
              <w:t>9.15</w:t>
            </w:r>
            <w:r w:rsidRPr="00D2027A">
              <w:rPr>
                <w:rFonts w:asciiTheme="majorBidi" w:hAnsiTheme="majorBidi" w:cstheme="majorBidi"/>
                <w:szCs w:val="24"/>
                <w:lang w:val="es-ES"/>
              </w:rPr>
              <w:t xml:space="preserve"> y </w:t>
            </w:r>
            <w:r w:rsidRPr="00251EE1">
              <w:rPr>
                <w:rFonts w:asciiTheme="majorBidi" w:hAnsiTheme="majorBidi" w:cstheme="majorBidi"/>
                <w:b/>
                <w:bCs/>
                <w:szCs w:val="24"/>
                <w:lang w:val="es-ES"/>
              </w:rPr>
              <w:t>9.16</w:t>
            </w:r>
            <w:r w:rsidRPr="00D2027A">
              <w:rPr>
                <w:rFonts w:asciiTheme="majorBidi" w:hAnsiTheme="majorBidi" w:cstheme="majorBidi"/>
                <w:szCs w:val="24"/>
                <w:lang w:val="es-ES"/>
              </w:rPr>
              <w:t xml:space="preserve"> (</w:t>
            </w:r>
            <w:hyperlink r:id="rId26" w:history="1">
              <w:r w:rsidRPr="00D2027A">
                <w:rPr>
                  <w:rStyle w:val="Hyperlink"/>
                  <w:rFonts w:asciiTheme="majorBidi" w:hAnsiTheme="majorBidi" w:cstheme="majorBidi"/>
                  <w:szCs w:val="24"/>
                  <w:lang w:val="es-ES"/>
                </w:rPr>
                <w:t>CR/171</w:t>
              </w:r>
            </w:hyperlink>
            <w:r w:rsidRPr="00D2027A">
              <w:rPr>
                <w:rFonts w:asciiTheme="majorBidi" w:hAnsiTheme="majorBidi" w:cstheme="majorBidi"/>
                <w:szCs w:val="24"/>
                <w:lang w:val="es-ES"/>
              </w:rPr>
              <w:t>)</w:t>
            </w:r>
            <w:r w:rsidR="00251EE1">
              <w:rPr>
                <w:rFonts w:asciiTheme="majorBidi" w:hAnsiTheme="majorBidi" w:cstheme="majorBidi"/>
                <w:szCs w:val="24"/>
                <w:lang w:val="es-ES"/>
              </w:rPr>
              <w:t>.</w:t>
            </w:r>
          </w:p>
          <w:p w14:paraId="2218C485" w14:textId="5073A01F" w:rsidR="00967792" w:rsidRPr="00D2027A" w:rsidRDefault="00967792" w:rsidP="00B53355">
            <w:pPr>
              <w:pStyle w:val="Tabletext"/>
              <w:rPr>
                <w:rFonts w:asciiTheme="majorBidi" w:hAnsiTheme="majorBidi" w:cstheme="majorBidi"/>
                <w:szCs w:val="24"/>
                <w:lang w:val="es-ES"/>
              </w:rPr>
            </w:pPr>
            <w:r w:rsidRPr="00D2027A">
              <w:rPr>
                <w:rFonts w:asciiTheme="majorBidi" w:hAnsiTheme="majorBidi" w:cstheme="majorBidi"/>
                <w:szCs w:val="24"/>
                <w:lang w:val="es-ES"/>
              </w:rPr>
              <w:t xml:space="preserve">Los </w:t>
            </w:r>
            <w:r w:rsidRPr="00A616CA">
              <w:rPr>
                <w:lang w:val="es-ES"/>
              </w:rPr>
              <w:t>cuadros</w:t>
            </w:r>
            <w:r w:rsidRPr="00D2027A">
              <w:rPr>
                <w:rFonts w:asciiTheme="majorBidi" w:hAnsiTheme="majorBidi" w:cstheme="majorBidi"/>
                <w:szCs w:val="24"/>
                <w:lang w:val="es-ES"/>
              </w:rPr>
              <w:t xml:space="preserve"> en la Regla de Procedimiento se han ido actualizando regularmente con las ulteriores modificaciones de la CMR a las </w:t>
            </w:r>
            <w:r w:rsidRPr="00266695">
              <w:rPr>
                <w:lang w:val="es-ES"/>
              </w:rPr>
              <w:t>adjudicaciones</w:t>
            </w:r>
            <w:r w:rsidRPr="00D2027A">
              <w:rPr>
                <w:rFonts w:asciiTheme="majorBidi" w:hAnsiTheme="majorBidi" w:cstheme="majorBidi"/>
                <w:szCs w:val="24"/>
                <w:lang w:val="es-ES"/>
              </w:rPr>
              <w:t xml:space="preserve"> consideradas.</w:t>
            </w:r>
          </w:p>
        </w:tc>
      </w:tr>
      <w:tr w:rsidR="00967792" w:rsidRPr="00D2027A" w14:paraId="6F2FD26D" w14:textId="77777777" w:rsidTr="00924C8B">
        <w:tblPrEx>
          <w:tblLook w:val="04A0" w:firstRow="1" w:lastRow="0" w:firstColumn="1" w:lastColumn="0" w:noHBand="0" w:noVBand="1"/>
        </w:tblPrEx>
        <w:trPr>
          <w:jc w:val="center"/>
        </w:trPr>
        <w:tc>
          <w:tcPr>
            <w:tcW w:w="183" w:type="pct"/>
          </w:tcPr>
          <w:p w14:paraId="1CB7A8E1" w14:textId="77777777" w:rsidR="00967792" w:rsidRPr="00A616CA" w:rsidRDefault="00967792" w:rsidP="00B53355">
            <w:pPr>
              <w:pStyle w:val="Tabletext"/>
              <w:rPr>
                <w:lang w:val="es-ES"/>
              </w:rPr>
            </w:pPr>
            <w:r w:rsidRPr="00A616CA">
              <w:rPr>
                <w:lang w:val="es-ES"/>
              </w:rPr>
              <w:t>8</w:t>
            </w:r>
          </w:p>
        </w:tc>
        <w:tc>
          <w:tcPr>
            <w:tcW w:w="434" w:type="pct"/>
          </w:tcPr>
          <w:p w14:paraId="4CD686FF" w14:textId="77777777" w:rsidR="00967792" w:rsidRPr="00A616CA" w:rsidRDefault="00967792" w:rsidP="00924C8B">
            <w:pPr>
              <w:pStyle w:val="Tabletext"/>
              <w:ind w:right="-57"/>
              <w:rPr>
                <w:lang w:val="es-ES"/>
              </w:rPr>
            </w:pPr>
            <w:r w:rsidRPr="00A616CA">
              <w:rPr>
                <w:lang w:val="es-ES"/>
              </w:rPr>
              <w:t>CMR-2000</w:t>
            </w:r>
          </w:p>
        </w:tc>
        <w:tc>
          <w:tcPr>
            <w:tcW w:w="523" w:type="pct"/>
          </w:tcPr>
          <w:p w14:paraId="3EEAD131" w14:textId="6D8ECE9E" w:rsidR="00967792" w:rsidRPr="00D2027A" w:rsidRDefault="00967792" w:rsidP="00B53355">
            <w:pPr>
              <w:pStyle w:val="Tabletext"/>
              <w:rPr>
                <w:rFonts w:asciiTheme="majorBidi" w:eastAsia="Malgun Gothic" w:hAnsiTheme="majorBidi" w:cstheme="majorBidi"/>
                <w:bCs/>
                <w:lang w:val="es-ES" w:eastAsia="ko-KR"/>
              </w:rPr>
            </w:pPr>
            <w:r w:rsidRPr="00D2027A">
              <w:rPr>
                <w:rFonts w:asciiTheme="majorBidi" w:eastAsia="Malgun Gothic" w:hAnsiTheme="majorBidi" w:cstheme="majorBidi"/>
                <w:bCs/>
                <w:lang w:val="es-ES" w:eastAsia="ko-KR"/>
              </w:rPr>
              <w:t>11ª Plenaria</w:t>
            </w:r>
            <w:r w:rsidRPr="00D2027A">
              <w:rPr>
                <w:rFonts w:asciiTheme="majorBidi" w:eastAsia="Malgun Gothic" w:hAnsiTheme="majorBidi" w:cstheme="majorBidi"/>
                <w:bCs/>
                <w:lang w:val="es-ES" w:eastAsia="ko-KR"/>
              </w:rPr>
              <w:br/>
            </w:r>
            <w:hyperlink r:id="rId27" w:history="1">
              <w:r w:rsidRPr="00D2027A">
                <w:rPr>
                  <w:rStyle w:val="Hyperlink"/>
                  <w:rFonts w:asciiTheme="majorBidi" w:eastAsia="Malgun Gothic" w:hAnsiTheme="majorBidi" w:cstheme="majorBidi"/>
                  <w:bCs/>
                  <w:lang w:val="es-ES" w:eastAsia="ko-KR"/>
                </w:rPr>
                <w:t>Doc. 540</w:t>
              </w:r>
            </w:hyperlink>
          </w:p>
        </w:tc>
        <w:tc>
          <w:tcPr>
            <w:tcW w:w="2312" w:type="pct"/>
          </w:tcPr>
          <w:p w14:paraId="51682934" w14:textId="1A9986C0" w:rsidR="00967792" w:rsidRPr="004D1BF3" w:rsidRDefault="00967792" w:rsidP="00B53355">
            <w:pPr>
              <w:spacing w:before="40" w:after="40"/>
              <w:rPr>
                <w:sz w:val="22"/>
                <w:lang w:val="es-ES"/>
              </w:rPr>
            </w:pPr>
            <w:r w:rsidRPr="004D1BF3">
              <w:rPr>
                <w:sz w:val="22"/>
                <w:lang w:val="es-ES"/>
              </w:rPr>
              <w:t>11.16</w:t>
            </w:r>
            <w:r w:rsidRPr="004D1BF3">
              <w:rPr>
                <w:sz w:val="22"/>
                <w:lang w:val="es-ES"/>
              </w:rPr>
              <w:tab/>
              <w:t xml:space="preserve">El </w:t>
            </w:r>
            <w:r w:rsidRPr="004D1BF3">
              <w:rPr>
                <w:b/>
                <w:bCs/>
                <w:sz w:val="22"/>
                <w:lang w:val="es-ES"/>
              </w:rPr>
              <w:t xml:space="preserve">delegado de Luxemburgo </w:t>
            </w:r>
            <w:r w:rsidRPr="004D1BF3">
              <w:rPr>
                <w:sz w:val="22"/>
                <w:lang w:val="es-ES"/>
              </w:rPr>
              <w:t>dice que durante la preparación del texto de esas disposiciones (</w:t>
            </w:r>
            <w:hyperlink r:id="rId28" w:history="1">
              <w:r w:rsidRPr="004D1BF3">
                <w:rPr>
                  <w:rStyle w:val="Hyperlink"/>
                  <w:sz w:val="22"/>
                  <w:lang w:val="es-ES"/>
                </w:rPr>
                <w:t>Documento 493</w:t>
              </w:r>
            </w:hyperlink>
            <w:r w:rsidRPr="004D1BF3">
              <w:rPr>
                <w:sz w:val="22"/>
                <w:lang w:val="es-ES"/>
              </w:rPr>
              <w:t>) en el Grupo de Trabajo 1 de la Plenaria, se decidió insertar un texto en las actas de la Sesión Plenaria que las consideró. El texto era el siguiente:</w:t>
            </w:r>
          </w:p>
          <w:p w14:paraId="24019904" w14:textId="46827EC2" w:rsidR="00967792" w:rsidRPr="004D1BF3" w:rsidRDefault="00967792" w:rsidP="00B53355">
            <w:pPr>
              <w:spacing w:before="40" w:after="40"/>
              <w:rPr>
                <w:sz w:val="22"/>
                <w:lang w:val="es-ES"/>
              </w:rPr>
            </w:pPr>
            <w:r w:rsidRPr="004D1BF3">
              <w:rPr>
                <w:sz w:val="22"/>
                <w:lang w:val="es-ES"/>
              </w:rPr>
              <w:t xml:space="preserve">«Al adoptar las disposiciones </w:t>
            </w:r>
            <w:r w:rsidRPr="004D1BF3">
              <w:rPr>
                <w:b/>
                <w:bCs/>
                <w:sz w:val="22"/>
                <w:lang w:val="es-ES"/>
              </w:rPr>
              <w:t>S23.13A</w:t>
            </w:r>
            <w:r w:rsidRPr="004D1BF3">
              <w:rPr>
                <w:sz w:val="22"/>
                <w:lang w:val="es-ES"/>
              </w:rPr>
              <w:t xml:space="preserve">, </w:t>
            </w:r>
            <w:r w:rsidRPr="004D1BF3">
              <w:rPr>
                <w:b/>
                <w:bCs/>
                <w:sz w:val="22"/>
                <w:lang w:val="es-ES"/>
              </w:rPr>
              <w:t>S23.13B</w:t>
            </w:r>
            <w:r w:rsidRPr="004D1BF3">
              <w:rPr>
                <w:sz w:val="22"/>
                <w:lang w:val="es-ES"/>
              </w:rPr>
              <w:t xml:space="preserve"> y </w:t>
            </w:r>
            <w:r w:rsidRPr="004D1BF3">
              <w:rPr>
                <w:b/>
                <w:bCs/>
                <w:sz w:val="22"/>
                <w:lang w:val="es-ES"/>
              </w:rPr>
              <w:t>S23.13C</w:t>
            </w:r>
            <w:r w:rsidRPr="004D1BF3">
              <w:rPr>
                <w:sz w:val="22"/>
                <w:lang w:val="es-ES"/>
              </w:rPr>
              <w:t xml:space="preserve">, se entiende que estos procedimientos se añaden a los del Artículo </w:t>
            </w:r>
            <w:r w:rsidRPr="004D1BF3">
              <w:rPr>
                <w:b/>
                <w:bCs/>
                <w:sz w:val="22"/>
                <w:lang w:val="es-ES"/>
              </w:rPr>
              <w:t>S9</w:t>
            </w:r>
            <w:r w:rsidRPr="004D1BF3">
              <w:rPr>
                <w:sz w:val="22"/>
                <w:lang w:val="es-ES"/>
              </w:rPr>
              <w:t xml:space="preserve"> y del Artículo </w:t>
            </w:r>
            <w:r w:rsidRPr="004D1BF3">
              <w:rPr>
                <w:b/>
                <w:bCs/>
                <w:sz w:val="22"/>
                <w:lang w:val="es-ES"/>
              </w:rPr>
              <w:t>4</w:t>
            </w:r>
            <w:r w:rsidRPr="004D1BF3">
              <w:rPr>
                <w:sz w:val="22"/>
                <w:lang w:val="es-ES"/>
              </w:rPr>
              <w:t xml:space="preserve"> del Apéndice </w:t>
            </w:r>
            <w:r w:rsidRPr="004D1BF3">
              <w:rPr>
                <w:b/>
                <w:bCs/>
                <w:sz w:val="22"/>
                <w:lang w:val="es-ES"/>
              </w:rPr>
              <w:t>S30</w:t>
            </w:r>
            <w:r w:rsidRPr="004D1BF3">
              <w:rPr>
                <w:sz w:val="22"/>
                <w:lang w:val="es-ES"/>
              </w:rPr>
              <w:t xml:space="preserve"> y, en consecuencia, no se tienen en cuenta en la aplicación del Artículo </w:t>
            </w:r>
            <w:r w:rsidRPr="004D1BF3">
              <w:rPr>
                <w:b/>
                <w:bCs/>
                <w:sz w:val="22"/>
                <w:lang w:val="es-ES"/>
              </w:rPr>
              <w:t>5</w:t>
            </w:r>
            <w:r w:rsidRPr="004D1BF3">
              <w:rPr>
                <w:sz w:val="22"/>
                <w:lang w:val="es-ES"/>
              </w:rPr>
              <w:t xml:space="preserve"> del Apéndice </w:t>
            </w:r>
            <w:r w:rsidRPr="004D1BF3">
              <w:rPr>
                <w:b/>
                <w:bCs/>
                <w:sz w:val="22"/>
                <w:lang w:val="es-ES"/>
              </w:rPr>
              <w:t>S30</w:t>
            </w:r>
            <w:r w:rsidRPr="004D1BF3">
              <w:rPr>
                <w:sz w:val="22"/>
                <w:lang w:val="es-ES"/>
              </w:rPr>
              <w:t xml:space="preserve"> y del Artículo </w:t>
            </w:r>
            <w:r w:rsidRPr="004D1BF3">
              <w:rPr>
                <w:b/>
                <w:bCs/>
                <w:sz w:val="22"/>
                <w:lang w:val="es-ES"/>
              </w:rPr>
              <w:t>S11</w:t>
            </w:r>
            <w:r w:rsidRPr="004D1BF3">
              <w:rPr>
                <w:sz w:val="22"/>
                <w:lang w:val="es-ES"/>
              </w:rPr>
              <w:t>. También cabe observar que en el caso de los servicios de radiodifusión por satélite en las bandas planificadas cuando alguno de los puntos de prueba se encuentra en el territorio de la administración demandante, la administración notificante tendrá la oportunidad de desplazar los puntos de prueba o añadir puntos de prueba adicionales para asegurar que el resto de la zona de servicio no resulta afectada»</w:t>
            </w:r>
            <w:r w:rsidR="00251EE1" w:rsidRPr="004D1BF3">
              <w:rPr>
                <w:sz w:val="22"/>
                <w:lang w:val="es-ES"/>
              </w:rPr>
              <w:t>.</w:t>
            </w:r>
          </w:p>
          <w:p w14:paraId="6C580238" w14:textId="77777777" w:rsidR="00967792" w:rsidRPr="004D1BF3" w:rsidRDefault="00967792" w:rsidP="00B53355">
            <w:pPr>
              <w:spacing w:before="40" w:after="40"/>
              <w:rPr>
                <w:sz w:val="22"/>
                <w:lang w:val="es-ES"/>
              </w:rPr>
            </w:pPr>
            <w:r w:rsidRPr="004D1BF3">
              <w:rPr>
                <w:sz w:val="22"/>
                <w:lang w:val="es-ES"/>
              </w:rPr>
              <w:lastRenderedPageBreak/>
              <w:t>11.17</w:t>
            </w:r>
            <w:r w:rsidRPr="004D1BF3">
              <w:rPr>
                <w:sz w:val="22"/>
                <w:lang w:val="es-ES"/>
              </w:rPr>
              <w:tab/>
              <w:t xml:space="preserve">El </w:t>
            </w:r>
            <w:r w:rsidRPr="004D1BF3">
              <w:rPr>
                <w:b/>
                <w:bCs/>
                <w:sz w:val="22"/>
                <w:lang w:val="es-ES"/>
              </w:rPr>
              <w:t>Presidente</w:t>
            </w:r>
            <w:r w:rsidRPr="004D1BF3">
              <w:rPr>
                <w:sz w:val="22"/>
                <w:lang w:val="es-ES"/>
              </w:rPr>
              <w:t xml:space="preserve"> propone que la Plenaria tome nota de este texto.</w:t>
            </w:r>
          </w:p>
          <w:p w14:paraId="075A2166" w14:textId="77777777" w:rsidR="00967792" w:rsidRPr="004D1BF3" w:rsidRDefault="00967792" w:rsidP="00B53355">
            <w:pPr>
              <w:spacing w:before="40" w:after="40"/>
              <w:rPr>
                <w:sz w:val="22"/>
                <w:lang w:val="es-ES"/>
              </w:rPr>
            </w:pPr>
            <w:r w:rsidRPr="004D1BF3">
              <w:rPr>
                <w:sz w:val="22"/>
                <w:lang w:val="es-ES"/>
              </w:rPr>
              <w:t>11.18</w:t>
            </w:r>
            <w:r w:rsidRPr="004D1BF3">
              <w:rPr>
                <w:sz w:val="22"/>
                <w:lang w:val="es-ES"/>
              </w:rPr>
              <w:tab/>
              <w:t xml:space="preserve">Así se </w:t>
            </w:r>
            <w:r w:rsidRPr="004D1BF3">
              <w:rPr>
                <w:b/>
                <w:bCs/>
                <w:sz w:val="22"/>
                <w:lang w:val="es-ES"/>
              </w:rPr>
              <w:t>acuerda</w:t>
            </w:r>
            <w:r w:rsidRPr="004D1BF3">
              <w:rPr>
                <w:sz w:val="22"/>
                <w:lang w:val="es-ES"/>
              </w:rPr>
              <w:t>.</w:t>
            </w:r>
          </w:p>
        </w:tc>
        <w:tc>
          <w:tcPr>
            <w:tcW w:w="1548" w:type="pct"/>
          </w:tcPr>
          <w:p w14:paraId="26DE8A2F" w14:textId="78C3ACC8" w:rsidR="00967792" w:rsidRPr="00D2027A" w:rsidRDefault="00967792" w:rsidP="00B53355">
            <w:pPr>
              <w:pStyle w:val="Tabletext"/>
              <w:rPr>
                <w:rFonts w:asciiTheme="majorBidi" w:hAnsiTheme="majorBidi" w:cstheme="majorBidi"/>
                <w:szCs w:val="24"/>
                <w:lang w:val="es-ES"/>
              </w:rPr>
            </w:pPr>
            <w:r w:rsidRPr="00D2027A">
              <w:rPr>
                <w:rFonts w:asciiTheme="majorBidi" w:hAnsiTheme="majorBidi" w:cstheme="majorBidi"/>
                <w:szCs w:val="24"/>
                <w:lang w:val="es-ES"/>
              </w:rPr>
              <w:lastRenderedPageBreak/>
              <w:t xml:space="preserve">En la 24ª </w:t>
            </w:r>
            <w:r w:rsidR="00D156CD">
              <w:rPr>
                <w:rFonts w:asciiTheme="majorBidi" w:hAnsiTheme="majorBidi" w:cstheme="majorBidi"/>
                <w:szCs w:val="24"/>
                <w:lang w:val="es-ES"/>
              </w:rPr>
              <w:t>r</w:t>
            </w:r>
            <w:r w:rsidRPr="00D2027A">
              <w:rPr>
                <w:rFonts w:asciiTheme="majorBidi" w:hAnsiTheme="majorBidi" w:cstheme="majorBidi"/>
                <w:szCs w:val="24"/>
                <w:lang w:val="es-ES"/>
              </w:rPr>
              <w:t xml:space="preserve">eunión de la RRB (10-18 de septiembre de 2001) se adoptó una Regla de Procedimiento modificada relativa al </w:t>
            </w:r>
            <w:r w:rsidRPr="004D1BF3">
              <w:rPr>
                <w:rFonts w:asciiTheme="majorBidi" w:hAnsiTheme="majorBidi" w:cstheme="majorBidi"/>
                <w:b/>
                <w:bCs/>
                <w:szCs w:val="24"/>
                <w:lang w:val="es-ES"/>
              </w:rPr>
              <w:t>S23.13</w:t>
            </w:r>
            <w:r w:rsidRPr="00D2027A">
              <w:rPr>
                <w:rFonts w:asciiTheme="majorBidi" w:hAnsiTheme="majorBidi" w:cstheme="majorBidi"/>
                <w:szCs w:val="24"/>
                <w:lang w:val="es-ES"/>
              </w:rPr>
              <w:t xml:space="preserve"> (</w:t>
            </w:r>
            <w:hyperlink r:id="rId29" w:history="1">
              <w:r w:rsidRPr="00D2027A">
                <w:rPr>
                  <w:rStyle w:val="Hyperlink"/>
                  <w:rFonts w:asciiTheme="majorBidi" w:hAnsiTheme="majorBidi" w:cstheme="majorBidi"/>
                  <w:szCs w:val="24"/>
                  <w:lang w:val="es-ES"/>
                </w:rPr>
                <w:t>CR/171</w:t>
              </w:r>
            </w:hyperlink>
            <w:r w:rsidRPr="00D2027A">
              <w:rPr>
                <w:rFonts w:asciiTheme="majorBidi" w:hAnsiTheme="majorBidi" w:cstheme="majorBidi"/>
                <w:szCs w:val="24"/>
                <w:lang w:val="es-ES"/>
              </w:rPr>
              <w:t>)</w:t>
            </w:r>
            <w:r w:rsidR="00D156CD">
              <w:rPr>
                <w:rFonts w:asciiTheme="majorBidi" w:hAnsiTheme="majorBidi" w:cstheme="majorBidi"/>
                <w:szCs w:val="24"/>
                <w:lang w:val="es-ES"/>
              </w:rPr>
              <w:t>.</w:t>
            </w:r>
          </w:p>
          <w:p w14:paraId="426804AA" w14:textId="73552EFA" w:rsidR="00967792" w:rsidRPr="00D2027A" w:rsidRDefault="00967792" w:rsidP="00B53355">
            <w:pPr>
              <w:pStyle w:val="Tabletext"/>
              <w:rPr>
                <w:rFonts w:asciiTheme="majorBidi" w:hAnsiTheme="majorBidi" w:cstheme="majorBidi"/>
                <w:szCs w:val="24"/>
                <w:lang w:val="es-ES"/>
              </w:rPr>
            </w:pPr>
            <w:r w:rsidRPr="00D2027A">
              <w:rPr>
                <w:rFonts w:asciiTheme="majorBidi" w:hAnsiTheme="majorBidi" w:cstheme="majorBidi"/>
                <w:szCs w:val="24"/>
                <w:lang w:val="es-ES"/>
              </w:rPr>
              <w:t xml:space="preserve">En la 27ª </w:t>
            </w:r>
            <w:r w:rsidR="00D156CD">
              <w:rPr>
                <w:rFonts w:asciiTheme="majorBidi" w:hAnsiTheme="majorBidi" w:cstheme="majorBidi"/>
                <w:szCs w:val="24"/>
                <w:lang w:val="es-ES"/>
              </w:rPr>
              <w:t>r</w:t>
            </w:r>
            <w:r w:rsidRPr="00D2027A">
              <w:rPr>
                <w:rFonts w:asciiTheme="majorBidi" w:hAnsiTheme="majorBidi" w:cstheme="majorBidi"/>
                <w:szCs w:val="24"/>
                <w:lang w:val="es-ES"/>
              </w:rPr>
              <w:t xml:space="preserve">eunión de la RRB (3-7 de junio de 2002) se adoptó una nueva Regla de Procedimiento relativa al </w:t>
            </w:r>
            <w:r w:rsidRPr="004D1BF3">
              <w:rPr>
                <w:rFonts w:asciiTheme="majorBidi" w:hAnsiTheme="majorBidi" w:cstheme="majorBidi"/>
                <w:b/>
                <w:bCs/>
                <w:szCs w:val="24"/>
                <w:lang w:val="es-ES"/>
              </w:rPr>
              <w:t>S23.12B</w:t>
            </w:r>
            <w:r w:rsidRPr="00D2027A">
              <w:rPr>
                <w:rFonts w:asciiTheme="majorBidi" w:hAnsiTheme="majorBidi" w:cstheme="majorBidi"/>
                <w:szCs w:val="24"/>
                <w:lang w:val="es-ES"/>
              </w:rPr>
              <w:t xml:space="preserve"> y </w:t>
            </w:r>
            <w:r w:rsidRPr="004D1BF3">
              <w:rPr>
                <w:rFonts w:asciiTheme="majorBidi" w:hAnsiTheme="majorBidi" w:cstheme="majorBidi"/>
                <w:b/>
                <w:bCs/>
                <w:szCs w:val="24"/>
                <w:lang w:val="es-ES"/>
              </w:rPr>
              <w:t>S23.13C</w:t>
            </w:r>
            <w:r w:rsidRPr="00D2027A">
              <w:rPr>
                <w:rFonts w:asciiTheme="majorBidi" w:hAnsiTheme="majorBidi" w:cstheme="majorBidi"/>
                <w:szCs w:val="24"/>
                <w:lang w:val="es-ES"/>
              </w:rPr>
              <w:t xml:space="preserve"> (</w:t>
            </w:r>
            <w:hyperlink r:id="rId30" w:history="1">
              <w:r w:rsidRPr="00D2027A">
                <w:rPr>
                  <w:rStyle w:val="Hyperlink"/>
                  <w:rFonts w:asciiTheme="majorBidi" w:hAnsiTheme="majorBidi" w:cstheme="majorBidi"/>
                  <w:szCs w:val="24"/>
                  <w:lang w:val="es-ES"/>
                </w:rPr>
                <w:t>CR/181</w:t>
              </w:r>
            </w:hyperlink>
            <w:r w:rsidRPr="00D2027A">
              <w:rPr>
                <w:rFonts w:asciiTheme="majorBidi" w:hAnsiTheme="majorBidi" w:cstheme="majorBidi"/>
                <w:szCs w:val="24"/>
                <w:lang w:val="es-ES"/>
              </w:rPr>
              <w:t>)</w:t>
            </w:r>
            <w:r w:rsidR="00D156CD">
              <w:rPr>
                <w:rFonts w:asciiTheme="majorBidi" w:hAnsiTheme="majorBidi" w:cstheme="majorBidi"/>
                <w:szCs w:val="24"/>
                <w:lang w:val="es-ES"/>
              </w:rPr>
              <w:t>.</w:t>
            </w:r>
          </w:p>
          <w:p w14:paraId="19DDDB39" w14:textId="3CA7B3B8" w:rsidR="00967792" w:rsidRPr="00D2027A" w:rsidRDefault="00967792" w:rsidP="00B53355">
            <w:pPr>
              <w:pStyle w:val="Tabletext"/>
              <w:rPr>
                <w:rFonts w:asciiTheme="majorBidi" w:hAnsiTheme="majorBidi" w:cstheme="majorBidi"/>
                <w:szCs w:val="24"/>
                <w:lang w:val="es-ES"/>
              </w:rPr>
            </w:pPr>
            <w:r w:rsidRPr="00D2027A">
              <w:rPr>
                <w:rFonts w:asciiTheme="majorBidi" w:hAnsiTheme="majorBidi" w:cstheme="majorBidi"/>
                <w:szCs w:val="24"/>
                <w:lang w:val="es-ES"/>
              </w:rPr>
              <w:t xml:space="preserve">En la 28ª </w:t>
            </w:r>
            <w:r w:rsidR="00D156CD">
              <w:rPr>
                <w:rFonts w:asciiTheme="majorBidi" w:hAnsiTheme="majorBidi" w:cstheme="majorBidi"/>
                <w:szCs w:val="24"/>
                <w:lang w:val="es-ES"/>
              </w:rPr>
              <w:t>r</w:t>
            </w:r>
            <w:r w:rsidRPr="00D2027A">
              <w:rPr>
                <w:rFonts w:asciiTheme="majorBidi" w:hAnsiTheme="majorBidi" w:cstheme="majorBidi"/>
                <w:szCs w:val="24"/>
                <w:lang w:val="es-ES"/>
              </w:rPr>
              <w:t xml:space="preserve">eunión de la RRB (9-13 de septiembre de 2002) se suprimieron las nuevas Reglas de Procedimiento adoptadas relativas a la Regla de Procedimientos sobre el </w:t>
            </w:r>
            <w:r w:rsidRPr="004D1BF3">
              <w:rPr>
                <w:rFonts w:asciiTheme="majorBidi" w:hAnsiTheme="majorBidi" w:cstheme="majorBidi"/>
                <w:b/>
                <w:bCs/>
                <w:szCs w:val="24"/>
                <w:lang w:val="es-ES"/>
              </w:rPr>
              <w:t>S23.13</w:t>
            </w:r>
            <w:r w:rsidRPr="00D2027A">
              <w:rPr>
                <w:rFonts w:asciiTheme="majorBidi" w:hAnsiTheme="majorBidi" w:cstheme="majorBidi"/>
                <w:szCs w:val="24"/>
                <w:lang w:val="es-ES"/>
              </w:rPr>
              <w:t xml:space="preserve"> (</w:t>
            </w:r>
            <w:hyperlink r:id="rId31" w:history="1">
              <w:r w:rsidRPr="00D2027A">
                <w:rPr>
                  <w:rStyle w:val="Hyperlink"/>
                  <w:rFonts w:asciiTheme="majorBidi" w:hAnsiTheme="majorBidi" w:cstheme="majorBidi"/>
                  <w:szCs w:val="24"/>
                  <w:lang w:val="es-ES"/>
                </w:rPr>
                <w:t>CR/187</w:t>
              </w:r>
            </w:hyperlink>
            <w:r w:rsidRPr="00D2027A">
              <w:rPr>
                <w:rFonts w:asciiTheme="majorBidi" w:hAnsiTheme="majorBidi" w:cstheme="majorBidi"/>
                <w:szCs w:val="24"/>
                <w:lang w:val="es-ES"/>
              </w:rPr>
              <w:t>)</w:t>
            </w:r>
            <w:r w:rsidR="00D156CD">
              <w:rPr>
                <w:rFonts w:asciiTheme="majorBidi" w:hAnsiTheme="majorBidi" w:cstheme="majorBidi"/>
                <w:szCs w:val="24"/>
                <w:lang w:val="es-ES"/>
              </w:rPr>
              <w:t>.</w:t>
            </w:r>
          </w:p>
        </w:tc>
      </w:tr>
      <w:tr w:rsidR="00967792" w:rsidRPr="00D2027A" w14:paraId="7BF4668A" w14:textId="77777777" w:rsidTr="00924C8B">
        <w:tblPrEx>
          <w:tblLook w:val="04A0" w:firstRow="1" w:lastRow="0" w:firstColumn="1" w:lastColumn="0" w:noHBand="0" w:noVBand="1"/>
        </w:tblPrEx>
        <w:trPr>
          <w:jc w:val="center"/>
        </w:trPr>
        <w:tc>
          <w:tcPr>
            <w:tcW w:w="183" w:type="pct"/>
          </w:tcPr>
          <w:p w14:paraId="18A88CB2" w14:textId="77777777" w:rsidR="00967792" w:rsidRPr="00A616CA" w:rsidRDefault="00967792" w:rsidP="00B53355">
            <w:pPr>
              <w:pStyle w:val="Tabletext"/>
              <w:rPr>
                <w:lang w:val="es-ES"/>
              </w:rPr>
            </w:pPr>
            <w:r w:rsidRPr="00A616CA">
              <w:rPr>
                <w:lang w:val="es-ES"/>
              </w:rPr>
              <w:t>9</w:t>
            </w:r>
          </w:p>
        </w:tc>
        <w:tc>
          <w:tcPr>
            <w:tcW w:w="434" w:type="pct"/>
          </w:tcPr>
          <w:p w14:paraId="152A4E20" w14:textId="77777777" w:rsidR="00967792" w:rsidRPr="00A616CA" w:rsidRDefault="00967792" w:rsidP="00B53355">
            <w:pPr>
              <w:pStyle w:val="Tabletext"/>
              <w:rPr>
                <w:lang w:val="es-ES"/>
              </w:rPr>
            </w:pPr>
            <w:r w:rsidRPr="00A616CA">
              <w:rPr>
                <w:lang w:val="es-ES"/>
              </w:rPr>
              <w:t>CMR-03</w:t>
            </w:r>
          </w:p>
        </w:tc>
        <w:tc>
          <w:tcPr>
            <w:tcW w:w="523" w:type="pct"/>
          </w:tcPr>
          <w:p w14:paraId="17439EE7" w14:textId="10938B6C" w:rsidR="00967792" w:rsidRPr="00D2027A" w:rsidRDefault="00967792" w:rsidP="00B53355">
            <w:pPr>
              <w:pStyle w:val="Tabletext"/>
              <w:rPr>
                <w:rFonts w:asciiTheme="majorBidi" w:eastAsia="Malgun Gothic" w:hAnsiTheme="majorBidi" w:cstheme="majorBidi"/>
                <w:bCs/>
                <w:lang w:val="es-ES" w:eastAsia="ko-KR"/>
              </w:rPr>
            </w:pPr>
            <w:r w:rsidRPr="00D2027A">
              <w:rPr>
                <w:rFonts w:asciiTheme="majorBidi" w:eastAsia="Malgun Gothic" w:hAnsiTheme="majorBidi" w:cstheme="majorBidi"/>
                <w:bCs/>
                <w:lang w:val="es-ES" w:eastAsia="ko-KR"/>
              </w:rPr>
              <w:t>4ª Plenaria</w:t>
            </w:r>
            <w:r w:rsidRPr="00D2027A">
              <w:rPr>
                <w:rFonts w:asciiTheme="majorBidi" w:eastAsia="Malgun Gothic" w:hAnsiTheme="majorBidi" w:cstheme="majorBidi"/>
                <w:bCs/>
                <w:lang w:val="es-ES" w:eastAsia="ko-KR"/>
              </w:rPr>
              <w:br/>
            </w:r>
            <w:hyperlink r:id="rId32" w:history="1">
              <w:r w:rsidRPr="00D2027A">
                <w:rPr>
                  <w:rStyle w:val="Hyperlink"/>
                  <w:rFonts w:asciiTheme="majorBidi" w:eastAsia="Malgun Gothic" w:hAnsiTheme="majorBidi" w:cstheme="majorBidi"/>
                  <w:bCs/>
                  <w:lang w:val="es-ES" w:eastAsia="ko-KR"/>
                </w:rPr>
                <w:t>Doc. 319</w:t>
              </w:r>
            </w:hyperlink>
          </w:p>
        </w:tc>
        <w:tc>
          <w:tcPr>
            <w:tcW w:w="2312" w:type="pct"/>
          </w:tcPr>
          <w:p w14:paraId="1833B8F8" w14:textId="77777777" w:rsidR="00967792" w:rsidRPr="004D1BF3" w:rsidRDefault="00967792" w:rsidP="00B53355">
            <w:pPr>
              <w:spacing w:before="40" w:after="40"/>
              <w:rPr>
                <w:sz w:val="22"/>
                <w:lang w:val="es-ES"/>
              </w:rPr>
            </w:pPr>
            <w:r w:rsidRPr="004D1BF3">
              <w:rPr>
                <w:sz w:val="22"/>
                <w:lang w:val="es-ES"/>
              </w:rPr>
              <w:t>6.15</w:t>
            </w:r>
            <w:r w:rsidRPr="004D1BF3">
              <w:rPr>
                <w:sz w:val="22"/>
                <w:lang w:val="es-ES"/>
              </w:rPr>
              <w:tab/>
              <w:t xml:space="preserve">El </w:t>
            </w:r>
            <w:r w:rsidRPr="004D1BF3">
              <w:rPr>
                <w:b/>
                <w:bCs/>
                <w:sz w:val="22"/>
                <w:lang w:val="es-ES"/>
              </w:rPr>
              <w:t>representante de la BR</w:t>
            </w:r>
            <w:r w:rsidRPr="004D1BF3">
              <w:rPr>
                <w:sz w:val="22"/>
                <w:lang w:val="es-ES"/>
              </w:rPr>
              <w:t xml:space="preserve"> señala a la atención de los presentes el punto 3 del orden del día, según el cual la Conferencia debe examinar los correspondientes cambios y las modificaciones al Reglamento de Radiocomunicaciones que exijan las decisiones de la Conferencia. La Conferencia acaba de aprobar la Resolución </w:t>
            </w:r>
            <w:r w:rsidRPr="004D1BF3">
              <w:rPr>
                <w:b/>
                <w:bCs/>
                <w:sz w:val="22"/>
                <w:lang w:val="es-ES"/>
              </w:rPr>
              <w:t>27</w:t>
            </w:r>
            <w:r w:rsidRPr="004D1BF3">
              <w:rPr>
                <w:sz w:val="22"/>
                <w:lang w:val="es-ES"/>
              </w:rPr>
              <w:t>, pero en el Reglamento de Radiocomunicaciones hay varias referencias a versiones anteriores de esa Resolución. Se somete a la Conferencia la conveniencia de autorizar a la Oficina a actualizar esas referencias.</w:t>
            </w:r>
          </w:p>
          <w:p w14:paraId="134BCCA7" w14:textId="77777777" w:rsidR="00967792" w:rsidRPr="004D1BF3" w:rsidRDefault="00967792" w:rsidP="00B53355">
            <w:pPr>
              <w:spacing w:before="40" w:after="40"/>
              <w:rPr>
                <w:sz w:val="22"/>
                <w:lang w:val="es-ES"/>
              </w:rPr>
            </w:pPr>
            <w:r w:rsidRPr="004D1BF3">
              <w:rPr>
                <w:sz w:val="22"/>
                <w:lang w:val="es-ES"/>
              </w:rPr>
              <w:t>6.16</w:t>
            </w:r>
            <w:r w:rsidRPr="004D1BF3">
              <w:rPr>
                <w:sz w:val="22"/>
                <w:lang w:val="es-ES"/>
              </w:rPr>
              <w:tab/>
              <w:t xml:space="preserve">La </w:t>
            </w:r>
            <w:r w:rsidRPr="004D1BF3">
              <w:rPr>
                <w:b/>
                <w:bCs/>
                <w:sz w:val="22"/>
                <w:lang w:val="es-ES"/>
              </w:rPr>
              <w:t>Presidenta</w:t>
            </w:r>
            <w:r w:rsidRPr="004D1BF3">
              <w:rPr>
                <w:sz w:val="22"/>
                <w:lang w:val="es-ES"/>
              </w:rPr>
              <w:t xml:space="preserve"> sugiere que la Conferencia autorice a la Oficina de Radiocomunicaciones a realizar los cambios correspondientes del Reglamento de Radiocomunicaciones, a raíz de la aprobación de la Resolución </w:t>
            </w:r>
            <w:r w:rsidRPr="004D1BF3">
              <w:rPr>
                <w:b/>
                <w:bCs/>
                <w:sz w:val="22"/>
                <w:lang w:val="es-ES"/>
              </w:rPr>
              <w:t>27 (Rev.CMR</w:t>
            </w:r>
            <w:r w:rsidRPr="004D1BF3">
              <w:rPr>
                <w:b/>
                <w:bCs/>
                <w:sz w:val="22"/>
                <w:lang w:val="es-ES"/>
              </w:rPr>
              <w:noBreakHyphen/>
              <w:t>03)</w:t>
            </w:r>
            <w:r w:rsidRPr="004D1BF3">
              <w:rPr>
                <w:sz w:val="22"/>
                <w:lang w:val="es-ES"/>
              </w:rPr>
              <w:t>.</w:t>
            </w:r>
          </w:p>
          <w:p w14:paraId="5DF6CBE1" w14:textId="77777777" w:rsidR="00967792" w:rsidRPr="004D1BF3" w:rsidRDefault="00967792" w:rsidP="00B53355">
            <w:pPr>
              <w:spacing w:before="40" w:after="40"/>
              <w:rPr>
                <w:sz w:val="22"/>
                <w:lang w:val="es-ES"/>
              </w:rPr>
            </w:pPr>
            <w:r w:rsidRPr="004D1BF3">
              <w:rPr>
                <w:sz w:val="22"/>
                <w:lang w:val="es-ES"/>
              </w:rPr>
              <w:t>6.17</w:t>
            </w:r>
            <w:r w:rsidRPr="004D1BF3">
              <w:rPr>
                <w:sz w:val="22"/>
                <w:lang w:val="es-ES"/>
              </w:rPr>
              <w:tab/>
              <w:t xml:space="preserve">Así se </w:t>
            </w:r>
            <w:r w:rsidRPr="004D1BF3">
              <w:rPr>
                <w:b/>
                <w:bCs/>
                <w:sz w:val="22"/>
                <w:lang w:val="es-ES"/>
              </w:rPr>
              <w:t>acuerda</w:t>
            </w:r>
            <w:r w:rsidRPr="004D1BF3">
              <w:rPr>
                <w:sz w:val="22"/>
                <w:lang w:val="es-ES"/>
              </w:rPr>
              <w:t>.</w:t>
            </w:r>
          </w:p>
        </w:tc>
        <w:tc>
          <w:tcPr>
            <w:tcW w:w="1548" w:type="pct"/>
          </w:tcPr>
          <w:p w14:paraId="53A855E7" w14:textId="76C98D08" w:rsidR="00967792" w:rsidRPr="00266695" w:rsidRDefault="00967792" w:rsidP="00B53355">
            <w:pPr>
              <w:pStyle w:val="Tabletext"/>
              <w:rPr>
                <w:lang w:val="es-ES"/>
              </w:rPr>
            </w:pPr>
            <w:r w:rsidRPr="00266695">
              <w:rPr>
                <w:lang w:val="es-ES"/>
              </w:rPr>
              <w:t>La BR actualizó las referencias a la nueva versión de la Resolución </w:t>
            </w:r>
            <w:r w:rsidRPr="004D1BF3">
              <w:rPr>
                <w:b/>
                <w:bCs/>
                <w:lang w:val="es-ES"/>
              </w:rPr>
              <w:t>27 (Rev.CMR-03)</w:t>
            </w:r>
            <w:r w:rsidRPr="00266695">
              <w:rPr>
                <w:lang w:val="es-ES"/>
              </w:rPr>
              <w:t xml:space="preserve"> mediante el RR</w:t>
            </w:r>
            <w:r w:rsidR="00D156CD">
              <w:rPr>
                <w:lang w:val="es-ES"/>
              </w:rPr>
              <w:t>.</w:t>
            </w:r>
          </w:p>
        </w:tc>
      </w:tr>
      <w:tr w:rsidR="00967792" w:rsidRPr="00D2027A" w14:paraId="50B1F8B8" w14:textId="77777777" w:rsidTr="00924C8B">
        <w:tblPrEx>
          <w:tblLook w:val="04A0" w:firstRow="1" w:lastRow="0" w:firstColumn="1" w:lastColumn="0" w:noHBand="0" w:noVBand="1"/>
        </w:tblPrEx>
        <w:trPr>
          <w:jc w:val="center"/>
        </w:trPr>
        <w:tc>
          <w:tcPr>
            <w:tcW w:w="183" w:type="pct"/>
          </w:tcPr>
          <w:p w14:paraId="6A0EC45A" w14:textId="77777777" w:rsidR="00967792" w:rsidRPr="00A616CA" w:rsidRDefault="00967792" w:rsidP="00B53355">
            <w:pPr>
              <w:pStyle w:val="Tabletext"/>
              <w:rPr>
                <w:lang w:val="es-ES"/>
              </w:rPr>
            </w:pPr>
            <w:r w:rsidRPr="00A616CA">
              <w:rPr>
                <w:lang w:val="es-ES"/>
              </w:rPr>
              <w:t>10</w:t>
            </w:r>
          </w:p>
        </w:tc>
        <w:tc>
          <w:tcPr>
            <w:tcW w:w="434" w:type="pct"/>
          </w:tcPr>
          <w:p w14:paraId="538F933A" w14:textId="77777777" w:rsidR="00967792" w:rsidRPr="00A616CA" w:rsidRDefault="00967792" w:rsidP="00B53355">
            <w:pPr>
              <w:pStyle w:val="Tabletext"/>
              <w:rPr>
                <w:lang w:val="es-ES"/>
              </w:rPr>
            </w:pPr>
            <w:r w:rsidRPr="00A616CA">
              <w:rPr>
                <w:lang w:val="es-ES"/>
              </w:rPr>
              <w:t>CMR-03</w:t>
            </w:r>
          </w:p>
        </w:tc>
        <w:tc>
          <w:tcPr>
            <w:tcW w:w="523" w:type="pct"/>
          </w:tcPr>
          <w:p w14:paraId="6BEE72C1" w14:textId="76597C78" w:rsidR="00967792" w:rsidRPr="004D1BF3" w:rsidRDefault="00967792" w:rsidP="00B53355">
            <w:pPr>
              <w:pStyle w:val="Tabletext"/>
              <w:rPr>
                <w:rFonts w:asciiTheme="majorBidi" w:eastAsia="Malgun Gothic" w:hAnsiTheme="majorBidi" w:cstheme="majorBidi"/>
                <w:bCs/>
                <w:lang w:val="es-ES" w:eastAsia="ko-KR"/>
              </w:rPr>
            </w:pPr>
            <w:r w:rsidRPr="004D1BF3">
              <w:rPr>
                <w:rFonts w:asciiTheme="majorBidi" w:eastAsia="Malgun Gothic" w:hAnsiTheme="majorBidi" w:cstheme="majorBidi"/>
                <w:bCs/>
                <w:lang w:val="es-ES" w:eastAsia="ko-KR"/>
              </w:rPr>
              <w:t>5ª Plenaria</w:t>
            </w:r>
            <w:r w:rsidR="004D1BF3" w:rsidRPr="004D1BF3">
              <w:rPr>
                <w:rFonts w:asciiTheme="majorBidi" w:eastAsia="Malgun Gothic" w:hAnsiTheme="majorBidi" w:cstheme="majorBidi"/>
                <w:bCs/>
                <w:lang w:val="es-ES" w:eastAsia="ko-KR"/>
              </w:rPr>
              <w:br/>
            </w:r>
            <w:hyperlink r:id="rId33" w:history="1">
              <w:r w:rsidRPr="004D1BF3">
                <w:rPr>
                  <w:rStyle w:val="Hyperlink"/>
                  <w:rFonts w:asciiTheme="majorBidi" w:eastAsia="Malgun Gothic" w:hAnsiTheme="majorBidi" w:cstheme="majorBidi"/>
                  <w:bCs/>
                  <w:lang w:val="es-ES" w:eastAsia="ko-KR"/>
                </w:rPr>
                <w:t>Doc. 398</w:t>
              </w:r>
            </w:hyperlink>
          </w:p>
        </w:tc>
        <w:tc>
          <w:tcPr>
            <w:tcW w:w="2312" w:type="pct"/>
          </w:tcPr>
          <w:p w14:paraId="35B54FCC" w14:textId="77777777" w:rsidR="00967792" w:rsidRPr="004D1BF3" w:rsidRDefault="00967792" w:rsidP="00B53355">
            <w:pPr>
              <w:spacing w:before="40" w:after="40"/>
              <w:rPr>
                <w:rFonts w:asciiTheme="majorBidi" w:hAnsiTheme="majorBidi" w:cstheme="majorBidi"/>
                <w:b/>
                <w:bCs/>
                <w:i/>
                <w:iCs/>
                <w:sz w:val="22"/>
                <w:lang w:val="es-ES"/>
              </w:rPr>
            </w:pPr>
            <w:r w:rsidRPr="004D1BF3">
              <w:rPr>
                <w:rFonts w:asciiTheme="majorBidi" w:hAnsiTheme="majorBidi" w:cstheme="majorBidi"/>
                <w:b/>
                <w:bCs/>
                <w:i/>
                <w:iCs/>
                <w:sz w:val="22"/>
                <w:lang w:val="es-ES"/>
              </w:rPr>
              <w:t>Frecuencias de llamada de socorro y de seguridad en la banda de ondas decamétricas</w:t>
            </w:r>
          </w:p>
          <w:p w14:paraId="07C31E5A" w14:textId="7E03275F" w:rsidR="00967792" w:rsidRPr="004D1BF3" w:rsidRDefault="00967792" w:rsidP="00B53355">
            <w:pPr>
              <w:spacing w:before="40" w:after="40"/>
              <w:rPr>
                <w:sz w:val="22"/>
                <w:lang w:val="es-ES"/>
              </w:rPr>
            </w:pPr>
            <w:r w:rsidRPr="004D1BF3">
              <w:rPr>
                <w:sz w:val="22"/>
                <w:lang w:val="es-ES"/>
              </w:rPr>
              <w:t>3.2</w:t>
            </w:r>
            <w:r w:rsidRPr="004D1BF3">
              <w:rPr>
                <w:sz w:val="22"/>
                <w:lang w:val="es-ES"/>
              </w:rPr>
              <w:tab/>
              <w:t>El Presidente presenta el segundo Informe que la Comisión 4 somete a la consideración de la Plenaria (</w:t>
            </w:r>
            <w:hyperlink r:id="rId34" w:history="1">
              <w:r w:rsidRPr="004D1BF3">
                <w:rPr>
                  <w:rStyle w:val="Hyperlink"/>
                  <w:sz w:val="22"/>
                  <w:lang w:val="es-ES"/>
                </w:rPr>
                <w:t>Documento 315</w:t>
              </w:r>
            </w:hyperlink>
            <w:r w:rsidRPr="004D1BF3">
              <w:rPr>
                <w:sz w:val="22"/>
                <w:lang w:val="es-ES"/>
              </w:rPr>
              <w:t xml:space="preserve">) relativo al punto 1.14 del orden del día, y declara que la Comisión 4 ha examinado las propuestas referentes a la modificación del Apéndice 15 en el marco del punto 1.14 del orden del día y que ha llegado a la conclusión de que, en cuanto a las frecuencias de llamadas de socorro y de seguridad respecta, se ha sobrepasado ya el nivel de carga de seguridad. Agrega que la Comisión ha decidido que no se debe modificar el Apéndice </w:t>
            </w:r>
            <w:r w:rsidRPr="004D1BF3">
              <w:rPr>
                <w:b/>
                <w:bCs/>
                <w:sz w:val="22"/>
                <w:lang w:val="es-ES"/>
              </w:rPr>
              <w:t>15</w:t>
            </w:r>
            <w:r w:rsidRPr="004D1BF3">
              <w:rPr>
                <w:sz w:val="22"/>
                <w:lang w:val="es-ES"/>
              </w:rPr>
              <w:t xml:space="preserve"> en lo que concierne al punto 1.14 del orden del día, y que en cambio es menester insertar la siguiente nota en el Acta de la Plenaria:</w:t>
            </w:r>
          </w:p>
          <w:p w14:paraId="637022FB" w14:textId="1745B517" w:rsidR="00967792" w:rsidRPr="004D1BF3" w:rsidRDefault="00967792" w:rsidP="00251EE1">
            <w:pPr>
              <w:spacing w:before="40" w:after="40"/>
              <w:rPr>
                <w:sz w:val="22"/>
                <w:lang w:val="es-ES"/>
              </w:rPr>
            </w:pPr>
            <w:r w:rsidRPr="004D1BF3">
              <w:rPr>
                <w:sz w:val="22"/>
                <w:lang w:val="es-ES"/>
              </w:rPr>
              <w:t>«Se ha observado que algunas estaciones costeras que funcionan en la banda de ondas métricas, y que forman parte del SMSSM, pueden llegar a superar el nivel de carga de seguridad que figura en la Recomendación UIT</w:t>
            </w:r>
            <w:r w:rsidRPr="004D1BF3">
              <w:rPr>
                <w:sz w:val="22"/>
                <w:lang w:val="es-ES"/>
              </w:rPr>
              <w:noBreakHyphen/>
              <w:t>R M.822</w:t>
            </w:r>
            <w:r w:rsidRPr="004D1BF3">
              <w:rPr>
                <w:sz w:val="22"/>
                <w:lang w:val="es-ES"/>
              </w:rPr>
              <w:noBreakHyphen/>
              <w:t xml:space="preserve">1, es decir 0,1 Erlang, en los canales de </w:t>
            </w:r>
            <w:r w:rsidRPr="004D1BF3">
              <w:rPr>
                <w:sz w:val="22"/>
                <w:lang w:val="es-ES"/>
              </w:rPr>
              <w:lastRenderedPageBreak/>
              <w:t>llamada de socorro y de seguridad de llamada selectiva digital (DSC), lo cual es motivo de preocupación. La Comisión 4 decide que la Comisión de Estudio 8 del UIT</w:t>
            </w:r>
            <w:r w:rsidRPr="004D1BF3">
              <w:rPr>
                <w:sz w:val="22"/>
                <w:lang w:val="es-ES"/>
              </w:rPr>
              <w:noBreakHyphen/>
              <w:t>R examinase la situación actual con respecto a la carga de los canales de llamada de socorro y seguridad DSC. Es necesario comprobar las hipótesis sobre la utilización de tráfico empleadas al realizar los estudios sobre carga y comprobar los niveles actuales de tráfico. Si estas comprobaciones ponen de manifiesto que realmente se están sobrepasando los niveles de seguridad, la Comisión de Estudio 8 ha de adoptar las medidas necesarias para modificar la utilización de estos canales con el fin de realizar pruebas. El UIT</w:t>
            </w:r>
            <w:r w:rsidRPr="004D1BF3">
              <w:rPr>
                <w:sz w:val="22"/>
                <w:lang w:val="es-ES"/>
              </w:rPr>
              <w:noBreakHyphen/>
              <w:t>R debe informar sobre esta situación a la Organización Marítima Internacional y mantenerla informada al respecto.»</w:t>
            </w:r>
          </w:p>
          <w:p w14:paraId="5FFAF18A" w14:textId="77777777" w:rsidR="00967792" w:rsidRPr="004D1BF3" w:rsidDel="003363A6" w:rsidRDefault="00967792" w:rsidP="00B53355">
            <w:pPr>
              <w:spacing w:before="40" w:after="40"/>
              <w:rPr>
                <w:sz w:val="22"/>
                <w:lang w:val="es-ES"/>
              </w:rPr>
            </w:pPr>
            <w:r w:rsidRPr="004D1BF3">
              <w:rPr>
                <w:sz w:val="22"/>
                <w:lang w:val="es-ES"/>
              </w:rPr>
              <w:t>3.3</w:t>
            </w:r>
            <w:r w:rsidRPr="004D1BF3">
              <w:rPr>
                <w:sz w:val="22"/>
                <w:lang w:val="es-ES"/>
              </w:rPr>
              <w:tab/>
              <w:t xml:space="preserve">Se </w:t>
            </w:r>
            <w:r w:rsidRPr="004D1BF3">
              <w:rPr>
                <w:b/>
                <w:bCs/>
                <w:sz w:val="22"/>
                <w:lang w:val="es-ES"/>
              </w:rPr>
              <w:t>aprueban</w:t>
            </w:r>
            <w:r w:rsidRPr="004D1BF3">
              <w:rPr>
                <w:sz w:val="22"/>
                <w:lang w:val="es-ES"/>
              </w:rPr>
              <w:t xml:space="preserve"> las precitadas conclusiones de la Comisión 4.</w:t>
            </w:r>
          </w:p>
        </w:tc>
        <w:tc>
          <w:tcPr>
            <w:tcW w:w="1548" w:type="pct"/>
          </w:tcPr>
          <w:p w14:paraId="62ED9D21" w14:textId="2D34764D" w:rsidR="00967792" w:rsidRPr="00266695" w:rsidRDefault="00967792" w:rsidP="00B53355">
            <w:pPr>
              <w:pStyle w:val="Tabletext"/>
              <w:rPr>
                <w:lang w:val="es-ES"/>
              </w:rPr>
            </w:pPr>
            <w:r w:rsidRPr="00266695">
              <w:rPr>
                <w:lang w:val="es-ES"/>
              </w:rPr>
              <w:lastRenderedPageBreak/>
              <w:t>El anterior GT 8B del UIT</w:t>
            </w:r>
            <w:r w:rsidRPr="00266695">
              <w:rPr>
                <w:lang w:val="es-ES"/>
              </w:rPr>
              <w:noBreakHyphen/>
              <w:t>R estudió el problema de la carga de tráfico DSC y preparó dos nuevos Anexos 3 y 4 a la Rec. UIT-R M.493 en colaboración con la OMI y el IEC</w:t>
            </w:r>
            <w:r w:rsidRPr="00266695">
              <w:rPr>
                <w:lang w:val="es-ES"/>
              </w:rPr>
              <w:noBreakHyphen/>
              <w:t>TC80. El Grupo de Trabajo 8B se disolvió en octubre de 2007. Sus responsabilidades fueron asumidas por el Grupo de Trabajo 5B</w:t>
            </w:r>
            <w:r w:rsidR="00D156CD">
              <w:rPr>
                <w:lang w:val="es-ES"/>
              </w:rPr>
              <w:t>.</w:t>
            </w:r>
          </w:p>
        </w:tc>
      </w:tr>
      <w:tr w:rsidR="00967792" w:rsidRPr="00D2027A" w14:paraId="45ED21F1" w14:textId="77777777" w:rsidTr="00924C8B">
        <w:tblPrEx>
          <w:tblLook w:val="04A0" w:firstRow="1" w:lastRow="0" w:firstColumn="1" w:lastColumn="0" w:noHBand="0" w:noVBand="1"/>
        </w:tblPrEx>
        <w:trPr>
          <w:jc w:val="center"/>
        </w:trPr>
        <w:tc>
          <w:tcPr>
            <w:tcW w:w="183" w:type="pct"/>
          </w:tcPr>
          <w:p w14:paraId="569F7CBD" w14:textId="77777777" w:rsidR="00967792" w:rsidRPr="00A616CA" w:rsidRDefault="00967792" w:rsidP="00B53355">
            <w:pPr>
              <w:pStyle w:val="Tabletext"/>
              <w:rPr>
                <w:lang w:val="es-ES"/>
              </w:rPr>
            </w:pPr>
            <w:r w:rsidRPr="00A616CA">
              <w:rPr>
                <w:lang w:val="es-ES"/>
              </w:rPr>
              <w:t>11</w:t>
            </w:r>
          </w:p>
        </w:tc>
        <w:tc>
          <w:tcPr>
            <w:tcW w:w="434" w:type="pct"/>
          </w:tcPr>
          <w:p w14:paraId="3F814CF4" w14:textId="77777777" w:rsidR="00967792" w:rsidRPr="00A616CA" w:rsidRDefault="00967792" w:rsidP="00B53355">
            <w:pPr>
              <w:pStyle w:val="Tabletext"/>
              <w:rPr>
                <w:lang w:val="es-ES"/>
              </w:rPr>
            </w:pPr>
            <w:r w:rsidRPr="00A616CA">
              <w:rPr>
                <w:lang w:val="es-ES"/>
              </w:rPr>
              <w:t>CMR-03</w:t>
            </w:r>
          </w:p>
        </w:tc>
        <w:tc>
          <w:tcPr>
            <w:tcW w:w="523" w:type="pct"/>
          </w:tcPr>
          <w:p w14:paraId="59975586" w14:textId="3FC1FF73" w:rsidR="00967792" w:rsidRPr="004D1BF3" w:rsidRDefault="00967792" w:rsidP="00B53355">
            <w:pPr>
              <w:pStyle w:val="Tabletext"/>
              <w:rPr>
                <w:rFonts w:asciiTheme="majorBidi" w:eastAsia="Malgun Gothic" w:hAnsiTheme="majorBidi" w:cstheme="majorBidi"/>
                <w:bCs/>
                <w:lang w:val="es-ES" w:eastAsia="ko-KR"/>
              </w:rPr>
            </w:pPr>
            <w:r w:rsidRPr="004D1BF3">
              <w:rPr>
                <w:rFonts w:asciiTheme="majorBidi" w:eastAsia="Malgun Gothic" w:hAnsiTheme="majorBidi" w:cstheme="majorBidi"/>
                <w:bCs/>
                <w:lang w:val="es-ES" w:eastAsia="ko-KR"/>
              </w:rPr>
              <w:t>7ª Plenaria</w:t>
            </w:r>
            <w:r w:rsidR="004D1BF3" w:rsidRPr="004D1BF3">
              <w:rPr>
                <w:rFonts w:asciiTheme="majorBidi" w:eastAsia="Malgun Gothic" w:hAnsiTheme="majorBidi" w:cstheme="majorBidi"/>
                <w:bCs/>
                <w:lang w:val="es-ES" w:eastAsia="ko-KR"/>
              </w:rPr>
              <w:br/>
            </w:r>
            <w:hyperlink r:id="rId35" w:history="1">
              <w:r w:rsidRPr="004D1BF3">
                <w:rPr>
                  <w:rStyle w:val="Hyperlink"/>
                  <w:rFonts w:asciiTheme="majorBidi" w:eastAsia="Malgun Gothic" w:hAnsiTheme="majorBidi" w:cstheme="majorBidi"/>
                  <w:bCs/>
                  <w:lang w:val="es-ES" w:eastAsia="ko-KR"/>
                </w:rPr>
                <w:t>Doc. 403</w:t>
              </w:r>
            </w:hyperlink>
          </w:p>
        </w:tc>
        <w:tc>
          <w:tcPr>
            <w:tcW w:w="2312" w:type="pct"/>
          </w:tcPr>
          <w:p w14:paraId="1DB8DD75" w14:textId="77777777" w:rsidR="00967792" w:rsidRPr="007A7CAE" w:rsidRDefault="00967792" w:rsidP="00B53355">
            <w:pPr>
              <w:spacing w:before="40" w:after="40"/>
              <w:rPr>
                <w:sz w:val="22"/>
                <w:lang w:val="es-ES"/>
              </w:rPr>
            </w:pPr>
            <w:r w:rsidRPr="007A7CAE">
              <w:rPr>
                <w:sz w:val="22"/>
                <w:lang w:val="es-ES"/>
              </w:rPr>
              <w:t>3.38</w:t>
            </w:r>
            <w:r w:rsidRPr="007A7CAE">
              <w:rPr>
                <w:sz w:val="22"/>
                <w:lang w:val="es-ES"/>
              </w:rPr>
              <w:tab/>
              <w:t xml:space="preserve">El </w:t>
            </w:r>
            <w:r w:rsidRPr="007A7CAE">
              <w:rPr>
                <w:b/>
                <w:bCs/>
                <w:sz w:val="22"/>
                <w:lang w:val="es-ES"/>
              </w:rPr>
              <w:t>Presidente de la Comisión 6</w:t>
            </w:r>
            <w:r w:rsidRPr="007A7CAE">
              <w:rPr>
                <w:sz w:val="22"/>
                <w:lang w:val="es-ES"/>
              </w:rPr>
              <w:t xml:space="preserve"> lee la siguiente declaración acordada por la Comisión 6 con objeto de ayudar a la BR a aplicar la Resolución [</w:t>
            </w:r>
            <w:r w:rsidRPr="00813F9B">
              <w:rPr>
                <w:b/>
                <w:bCs/>
                <w:sz w:val="22"/>
                <w:lang w:val="es-ES"/>
              </w:rPr>
              <w:t>COM6/1</w:t>
            </w:r>
            <w:r w:rsidRPr="007A7CAE">
              <w:rPr>
                <w:sz w:val="22"/>
                <w:lang w:val="es-ES"/>
              </w:rPr>
              <w:t>]:</w:t>
            </w:r>
          </w:p>
          <w:p w14:paraId="58149AEF" w14:textId="77777777" w:rsidR="00967792" w:rsidRPr="007A7CAE" w:rsidRDefault="00967792" w:rsidP="00B53355">
            <w:pPr>
              <w:spacing w:before="40" w:after="40"/>
              <w:ind w:left="794" w:hanging="794"/>
              <w:rPr>
                <w:sz w:val="22"/>
                <w:lang w:val="es-ES"/>
              </w:rPr>
            </w:pPr>
            <w:r w:rsidRPr="007A7CAE">
              <w:rPr>
                <w:sz w:val="22"/>
                <w:lang w:val="es-ES"/>
              </w:rPr>
              <w:tab/>
              <w:t xml:space="preserve">«La Comisión 6 confirma que en aplicación de los </w:t>
            </w:r>
            <w:r w:rsidRPr="007A7CAE">
              <w:rPr>
                <w:i/>
                <w:iCs/>
                <w:sz w:val="22"/>
                <w:lang w:val="es-ES"/>
              </w:rPr>
              <w:t>resuelve </w:t>
            </w:r>
            <w:r w:rsidRPr="007A7CAE">
              <w:rPr>
                <w:sz w:val="22"/>
                <w:lang w:val="es-ES"/>
              </w:rPr>
              <w:t>3 y 5 de la Resolución [</w:t>
            </w:r>
            <w:r w:rsidRPr="00813F9B">
              <w:rPr>
                <w:b/>
                <w:bCs/>
                <w:sz w:val="22"/>
                <w:lang w:val="es-ES"/>
              </w:rPr>
              <w:t>COM6/1</w:t>
            </w:r>
            <w:r w:rsidRPr="007A7CAE">
              <w:rPr>
                <w:sz w:val="22"/>
                <w:lang w:val="es-ES"/>
              </w:rPr>
              <w:t xml:space="preserve">], tras la publicación de su Carta Circular mencionada en el </w:t>
            </w:r>
            <w:r w:rsidRPr="007A7CAE">
              <w:rPr>
                <w:i/>
                <w:iCs/>
                <w:sz w:val="22"/>
                <w:lang w:val="es-ES"/>
              </w:rPr>
              <w:t>resuelve </w:t>
            </w:r>
            <w:r w:rsidRPr="007A7CAE">
              <w:rPr>
                <w:sz w:val="22"/>
                <w:lang w:val="es-ES"/>
              </w:rPr>
              <w:t>5, la Oficina deberá comenzar un nuevo plazo de 30 días para adaptar el sistema presentado conforme a lo especificado en las Reglas de Procedimientos relativas a § 6.12, para la presentación a examen de conformidad con dichas Reglas siempre que no figuren en la Lista el 5 de julio de 2003.</w:t>
            </w:r>
          </w:p>
          <w:p w14:paraId="29889CF7" w14:textId="77777777" w:rsidR="00967792" w:rsidRPr="007A7CAE" w:rsidRDefault="00967792" w:rsidP="00B53355">
            <w:pPr>
              <w:spacing w:before="40" w:after="40"/>
              <w:ind w:left="794" w:hanging="794"/>
              <w:rPr>
                <w:sz w:val="22"/>
                <w:lang w:val="es-ES"/>
              </w:rPr>
            </w:pPr>
            <w:r w:rsidRPr="007A7CAE">
              <w:rPr>
                <w:sz w:val="22"/>
                <w:lang w:val="es-ES"/>
              </w:rPr>
              <w:tab/>
              <w:t xml:space="preserve">La Comisión 6 concluye que la aplicación actual por parte de la BR, de la tolerancia de 0,05 dB en el cálculo de </w:t>
            </w:r>
            <w:r w:rsidRPr="007A7CAE">
              <w:rPr>
                <w:i/>
                <w:iCs/>
                <w:sz w:val="22"/>
                <w:lang w:val="es-ES"/>
              </w:rPr>
              <w:t>C</w:t>
            </w:r>
            <w:r w:rsidRPr="007A7CAE">
              <w:rPr>
                <w:sz w:val="22"/>
                <w:lang w:val="es-ES"/>
              </w:rPr>
              <w:t>/</w:t>
            </w:r>
            <w:r w:rsidRPr="007A7CAE">
              <w:rPr>
                <w:i/>
                <w:iCs/>
                <w:sz w:val="22"/>
                <w:lang w:val="es-ES"/>
              </w:rPr>
              <w:t>I</w:t>
            </w:r>
            <w:r w:rsidRPr="007A7CAE">
              <w:rPr>
                <w:sz w:val="22"/>
                <w:lang w:val="es-ES"/>
              </w:rPr>
              <w:t xml:space="preserve"> correspondiente al análisis del Apéndice </w:t>
            </w:r>
            <w:r w:rsidRPr="00813F9B">
              <w:rPr>
                <w:b/>
                <w:bCs/>
                <w:sz w:val="22"/>
                <w:lang w:val="es-ES"/>
              </w:rPr>
              <w:t>30B</w:t>
            </w:r>
            <w:r w:rsidRPr="007A7CAE">
              <w:rPr>
                <w:sz w:val="22"/>
                <w:lang w:val="es-ES"/>
              </w:rPr>
              <w:t>, es adecuada.</w:t>
            </w:r>
          </w:p>
          <w:p w14:paraId="78FA76E9" w14:textId="77777777" w:rsidR="00967792" w:rsidRPr="007A7CAE" w:rsidRDefault="00967792" w:rsidP="00B53355">
            <w:pPr>
              <w:spacing w:before="40" w:after="40"/>
              <w:ind w:left="794" w:hanging="794"/>
              <w:rPr>
                <w:sz w:val="22"/>
                <w:lang w:val="es-ES"/>
              </w:rPr>
            </w:pPr>
            <w:r w:rsidRPr="007A7CAE">
              <w:rPr>
                <w:sz w:val="22"/>
                <w:lang w:val="es-ES"/>
              </w:rPr>
              <w:tab/>
              <w:t>La Comisión 6 concluye asimismo que no es necesario mencionar la Resolución </w:t>
            </w:r>
            <w:r w:rsidRPr="00813F9B">
              <w:rPr>
                <w:b/>
                <w:bCs/>
                <w:sz w:val="22"/>
                <w:lang w:val="es-ES"/>
              </w:rPr>
              <w:t>49</w:t>
            </w:r>
            <w:r w:rsidRPr="007A7CAE">
              <w:rPr>
                <w:sz w:val="22"/>
                <w:lang w:val="es-ES"/>
              </w:rPr>
              <w:t xml:space="preserve"> en el cuerpo del Apéndice </w:t>
            </w:r>
            <w:r w:rsidRPr="007A7CAE">
              <w:rPr>
                <w:b/>
                <w:bCs/>
                <w:sz w:val="22"/>
                <w:lang w:val="es-ES"/>
              </w:rPr>
              <w:t>30B</w:t>
            </w:r>
            <w:r w:rsidRPr="007A7CAE">
              <w:rPr>
                <w:sz w:val="22"/>
                <w:lang w:val="es-ES"/>
              </w:rPr>
              <w:t>».</w:t>
            </w:r>
          </w:p>
          <w:p w14:paraId="3BB0B7EA" w14:textId="3725C038" w:rsidR="00967792" w:rsidRPr="007A7CAE" w:rsidRDefault="00967792" w:rsidP="00B53355">
            <w:pPr>
              <w:spacing w:before="40" w:after="40"/>
              <w:rPr>
                <w:sz w:val="22"/>
                <w:lang w:val="es-ES"/>
              </w:rPr>
            </w:pPr>
            <w:r w:rsidRPr="007A7CAE">
              <w:rPr>
                <w:sz w:val="22"/>
                <w:lang w:val="es-ES"/>
              </w:rPr>
              <w:t>Estas declaraciones se incluirán en su Informe a la Plenaria (</w:t>
            </w:r>
            <w:hyperlink r:id="rId36" w:history="1">
              <w:r w:rsidRPr="007A7CAE">
                <w:rPr>
                  <w:rStyle w:val="Hyperlink"/>
                  <w:sz w:val="22"/>
                  <w:lang w:val="es-ES"/>
                </w:rPr>
                <w:t>Documento 370</w:t>
              </w:r>
            </w:hyperlink>
            <w:r w:rsidRPr="007A7CAE">
              <w:rPr>
                <w:sz w:val="22"/>
                <w:lang w:val="es-ES"/>
              </w:rPr>
              <w:t>).</w:t>
            </w:r>
          </w:p>
          <w:p w14:paraId="058C5BCF" w14:textId="77777777" w:rsidR="00967792" w:rsidRPr="007A7CAE" w:rsidRDefault="00967792" w:rsidP="00B53355">
            <w:pPr>
              <w:spacing w:before="40" w:after="40"/>
              <w:rPr>
                <w:sz w:val="22"/>
                <w:lang w:val="es-ES"/>
              </w:rPr>
            </w:pPr>
            <w:r w:rsidRPr="007A7CAE">
              <w:rPr>
                <w:sz w:val="22"/>
                <w:lang w:val="es-ES"/>
              </w:rPr>
              <w:lastRenderedPageBreak/>
              <w:t>3.39</w:t>
            </w:r>
            <w:r w:rsidRPr="007A7CAE">
              <w:rPr>
                <w:sz w:val="22"/>
                <w:lang w:val="es-ES"/>
              </w:rPr>
              <w:tab/>
              <w:t xml:space="preserve">La </w:t>
            </w:r>
            <w:r w:rsidRPr="007A7CAE">
              <w:rPr>
                <w:b/>
                <w:bCs/>
                <w:sz w:val="22"/>
                <w:lang w:val="es-ES"/>
              </w:rPr>
              <w:t>Presidenta</w:t>
            </w:r>
            <w:r w:rsidRPr="007A7CAE">
              <w:rPr>
                <w:sz w:val="22"/>
                <w:lang w:val="es-ES"/>
              </w:rPr>
              <w:t xml:space="preserve"> dice que, al no haberse formulado ninguna objeción, interpreta que el deseo de los participantes de la reunión es aprobar estas declaraciones.</w:t>
            </w:r>
          </w:p>
          <w:p w14:paraId="74AAD8D5" w14:textId="77777777" w:rsidR="00967792" w:rsidRPr="007A7CAE" w:rsidRDefault="00967792" w:rsidP="00B53355">
            <w:pPr>
              <w:spacing w:before="40" w:after="40"/>
              <w:rPr>
                <w:sz w:val="22"/>
                <w:lang w:val="es-ES"/>
              </w:rPr>
            </w:pPr>
            <w:r w:rsidRPr="007A7CAE">
              <w:rPr>
                <w:sz w:val="22"/>
                <w:lang w:val="es-ES"/>
              </w:rPr>
              <w:t>3.40</w:t>
            </w:r>
            <w:r w:rsidRPr="007A7CAE">
              <w:rPr>
                <w:sz w:val="22"/>
                <w:lang w:val="es-ES"/>
              </w:rPr>
              <w:tab/>
              <w:t xml:space="preserve">Así se </w:t>
            </w:r>
            <w:r w:rsidRPr="007A7CAE">
              <w:rPr>
                <w:b/>
                <w:bCs/>
                <w:sz w:val="22"/>
                <w:lang w:val="es-ES"/>
              </w:rPr>
              <w:t>acuerda</w:t>
            </w:r>
            <w:r w:rsidRPr="007A7CAE">
              <w:rPr>
                <w:sz w:val="22"/>
                <w:lang w:val="es-ES"/>
              </w:rPr>
              <w:t>.</w:t>
            </w:r>
          </w:p>
        </w:tc>
        <w:tc>
          <w:tcPr>
            <w:tcW w:w="1548" w:type="pct"/>
          </w:tcPr>
          <w:p w14:paraId="40EE05E6" w14:textId="77777777" w:rsidR="00967792" w:rsidRPr="00D2027A" w:rsidRDefault="00967792" w:rsidP="00B53355">
            <w:pPr>
              <w:pStyle w:val="Tabletext"/>
              <w:rPr>
                <w:rFonts w:asciiTheme="majorBidi" w:hAnsiTheme="majorBidi" w:cstheme="majorBidi"/>
                <w:szCs w:val="24"/>
                <w:lang w:val="es-ES"/>
              </w:rPr>
            </w:pPr>
            <w:r w:rsidRPr="00D2027A">
              <w:rPr>
                <w:rFonts w:asciiTheme="majorBidi" w:hAnsiTheme="majorBidi" w:cstheme="majorBidi"/>
                <w:szCs w:val="24"/>
                <w:lang w:val="es-ES"/>
              </w:rPr>
              <w:lastRenderedPageBreak/>
              <w:t>30 días:</w:t>
            </w:r>
          </w:p>
          <w:p w14:paraId="0665302F" w14:textId="77777777" w:rsidR="00967792" w:rsidRPr="00D2027A" w:rsidRDefault="00967792" w:rsidP="00B53355">
            <w:pPr>
              <w:pStyle w:val="Tabletext"/>
              <w:rPr>
                <w:rFonts w:asciiTheme="majorBidi" w:hAnsiTheme="majorBidi" w:cstheme="majorBidi"/>
                <w:szCs w:val="24"/>
                <w:lang w:val="es-ES"/>
              </w:rPr>
            </w:pPr>
            <w:r w:rsidRPr="00D2027A">
              <w:rPr>
                <w:rFonts w:asciiTheme="majorBidi" w:hAnsiTheme="majorBidi" w:cstheme="majorBidi"/>
                <w:szCs w:val="24"/>
                <w:lang w:val="es-ES"/>
              </w:rPr>
              <w:t>Aplicada a la primera publicación (</w:t>
            </w:r>
            <w:r w:rsidRPr="00813F9B">
              <w:rPr>
                <w:rFonts w:asciiTheme="majorBidi" w:hAnsiTheme="majorBidi" w:cstheme="majorBidi"/>
                <w:b/>
                <w:bCs/>
                <w:szCs w:val="24"/>
                <w:lang w:val="es-ES"/>
              </w:rPr>
              <w:t>AP30B</w:t>
            </w:r>
            <w:r w:rsidRPr="00D2027A">
              <w:rPr>
                <w:rFonts w:asciiTheme="majorBidi" w:hAnsiTheme="majorBidi" w:cstheme="majorBidi"/>
                <w:szCs w:val="24"/>
                <w:lang w:val="es-ES"/>
              </w:rPr>
              <w:t xml:space="preserve">/49) después de la </w:t>
            </w:r>
            <w:hyperlink r:id="rId37" w:history="1">
              <w:r w:rsidRPr="00D2027A">
                <w:rPr>
                  <w:rStyle w:val="Hyperlink"/>
                  <w:rFonts w:asciiTheme="majorBidi" w:hAnsiTheme="majorBidi" w:cstheme="majorBidi"/>
                  <w:szCs w:val="24"/>
                  <w:lang w:val="es-ES"/>
                </w:rPr>
                <w:t>CR201</w:t>
              </w:r>
            </w:hyperlink>
            <w:r w:rsidRPr="00D2027A">
              <w:rPr>
                <w:rFonts w:asciiTheme="majorBidi" w:hAnsiTheme="majorBidi" w:cstheme="majorBidi"/>
                <w:szCs w:val="24"/>
                <w:lang w:val="es-ES"/>
              </w:rPr>
              <w:t xml:space="preserve"> (situación de </w:t>
            </w:r>
            <w:r w:rsidRPr="00266695">
              <w:rPr>
                <w:lang w:val="es-ES"/>
              </w:rPr>
              <w:t>referencia</w:t>
            </w:r>
            <w:r w:rsidRPr="00D2027A">
              <w:rPr>
                <w:rFonts w:asciiTheme="majorBidi" w:hAnsiTheme="majorBidi" w:cstheme="majorBidi"/>
                <w:szCs w:val="24"/>
                <w:lang w:val="es-ES"/>
              </w:rPr>
              <w:t xml:space="preserve"> actualizada) de 27 de agosto de 2003.</w:t>
            </w:r>
          </w:p>
          <w:p w14:paraId="72F63691" w14:textId="77777777" w:rsidR="00967792" w:rsidRPr="00D2027A" w:rsidRDefault="00967792" w:rsidP="00B53355">
            <w:pPr>
              <w:pStyle w:val="Tabletext"/>
              <w:rPr>
                <w:rFonts w:asciiTheme="majorBidi" w:hAnsiTheme="majorBidi" w:cstheme="majorBidi"/>
                <w:szCs w:val="24"/>
                <w:lang w:val="es-ES"/>
              </w:rPr>
            </w:pPr>
            <w:r w:rsidRPr="00266695">
              <w:rPr>
                <w:lang w:val="es-ES"/>
              </w:rPr>
              <w:t>Tolerancia</w:t>
            </w:r>
            <w:r w:rsidRPr="00D2027A">
              <w:rPr>
                <w:rFonts w:asciiTheme="majorBidi" w:hAnsiTheme="majorBidi" w:cstheme="majorBidi"/>
                <w:szCs w:val="24"/>
                <w:lang w:val="es-ES"/>
              </w:rPr>
              <w:t xml:space="preserve"> 0,05 dB:</w:t>
            </w:r>
          </w:p>
          <w:p w14:paraId="6A983B0E" w14:textId="77777777" w:rsidR="00967792" w:rsidRPr="00D2027A" w:rsidRDefault="00967792" w:rsidP="00B53355">
            <w:pPr>
              <w:pStyle w:val="Tabletext"/>
              <w:rPr>
                <w:rFonts w:asciiTheme="majorBidi" w:hAnsiTheme="majorBidi" w:cstheme="majorBidi"/>
                <w:szCs w:val="24"/>
                <w:lang w:val="es-ES"/>
              </w:rPr>
            </w:pPr>
            <w:r w:rsidRPr="00D2027A">
              <w:rPr>
                <w:rFonts w:asciiTheme="majorBidi" w:hAnsiTheme="majorBidi" w:cstheme="majorBidi"/>
                <w:szCs w:val="24"/>
                <w:lang w:val="es-ES"/>
              </w:rPr>
              <w:t xml:space="preserve">Se </w:t>
            </w:r>
            <w:r w:rsidRPr="00266695">
              <w:rPr>
                <w:lang w:val="es-ES"/>
              </w:rPr>
              <w:t>aplicó</w:t>
            </w:r>
            <w:r w:rsidRPr="00D2027A">
              <w:rPr>
                <w:rFonts w:asciiTheme="majorBidi" w:hAnsiTheme="majorBidi" w:cstheme="majorBidi"/>
                <w:szCs w:val="24"/>
                <w:lang w:val="es-ES"/>
              </w:rPr>
              <w:t xml:space="preserve"> la tolerancia.</w:t>
            </w:r>
          </w:p>
          <w:p w14:paraId="6D1E74F4" w14:textId="77777777" w:rsidR="00967792" w:rsidRPr="00D2027A" w:rsidRDefault="00967792" w:rsidP="00B53355">
            <w:pPr>
              <w:pStyle w:val="Tabletext"/>
              <w:rPr>
                <w:rFonts w:asciiTheme="majorBidi" w:hAnsiTheme="majorBidi" w:cstheme="majorBidi"/>
                <w:szCs w:val="24"/>
                <w:lang w:val="es-ES"/>
              </w:rPr>
            </w:pPr>
            <w:r w:rsidRPr="00D2027A">
              <w:rPr>
                <w:rFonts w:asciiTheme="majorBidi" w:hAnsiTheme="majorBidi" w:cstheme="majorBidi"/>
                <w:szCs w:val="24"/>
                <w:lang w:val="es-ES"/>
              </w:rPr>
              <w:t>La CMR</w:t>
            </w:r>
            <w:r w:rsidRPr="00D2027A">
              <w:rPr>
                <w:rFonts w:asciiTheme="majorBidi" w:hAnsiTheme="majorBidi" w:cstheme="majorBidi"/>
                <w:szCs w:val="24"/>
                <w:lang w:val="es-ES"/>
              </w:rPr>
              <w:noBreakHyphen/>
              <w:t xml:space="preserve">07 la integró en el Anexo 4 del </w:t>
            </w:r>
            <w:r w:rsidRPr="00266695">
              <w:rPr>
                <w:lang w:val="es-ES"/>
              </w:rPr>
              <w:t>Apéndice</w:t>
            </w:r>
            <w:r w:rsidRPr="00D2027A">
              <w:rPr>
                <w:rFonts w:asciiTheme="majorBidi" w:hAnsiTheme="majorBidi" w:cstheme="majorBidi"/>
                <w:szCs w:val="24"/>
                <w:lang w:val="es-ES"/>
              </w:rPr>
              <w:t> </w:t>
            </w:r>
            <w:r w:rsidRPr="00813F9B">
              <w:rPr>
                <w:rFonts w:asciiTheme="majorBidi" w:hAnsiTheme="majorBidi" w:cstheme="majorBidi"/>
                <w:b/>
                <w:bCs/>
                <w:szCs w:val="24"/>
                <w:lang w:val="es-ES"/>
              </w:rPr>
              <w:t>30B</w:t>
            </w:r>
            <w:r w:rsidRPr="00D2027A">
              <w:rPr>
                <w:rFonts w:asciiTheme="majorBidi" w:hAnsiTheme="majorBidi" w:cstheme="majorBidi"/>
                <w:szCs w:val="24"/>
                <w:lang w:val="es-ES"/>
              </w:rPr>
              <w:t>.</w:t>
            </w:r>
          </w:p>
          <w:p w14:paraId="4479B1EC" w14:textId="77777777" w:rsidR="00967792" w:rsidRPr="00D2027A" w:rsidRDefault="00967792" w:rsidP="00B53355">
            <w:pPr>
              <w:pStyle w:val="Tabletext"/>
              <w:rPr>
                <w:rFonts w:asciiTheme="majorBidi" w:hAnsiTheme="majorBidi" w:cstheme="majorBidi"/>
                <w:szCs w:val="24"/>
                <w:lang w:val="es-ES"/>
              </w:rPr>
            </w:pPr>
            <w:r w:rsidRPr="00266695">
              <w:rPr>
                <w:lang w:val="es-ES"/>
              </w:rPr>
              <w:t>Referencia</w:t>
            </w:r>
            <w:r w:rsidRPr="00D2027A">
              <w:rPr>
                <w:rFonts w:asciiTheme="majorBidi" w:hAnsiTheme="majorBidi" w:cstheme="majorBidi"/>
                <w:szCs w:val="24"/>
                <w:lang w:val="es-ES"/>
              </w:rPr>
              <w:t xml:space="preserve"> a la Res.</w:t>
            </w:r>
            <w:r w:rsidRPr="00813F9B">
              <w:rPr>
                <w:rFonts w:asciiTheme="majorBidi" w:hAnsiTheme="majorBidi" w:cstheme="majorBidi"/>
                <w:b/>
                <w:bCs/>
                <w:szCs w:val="24"/>
                <w:lang w:val="es-ES"/>
              </w:rPr>
              <w:t>49</w:t>
            </w:r>
            <w:r w:rsidRPr="00D2027A">
              <w:rPr>
                <w:rFonts w:asciiTheme="majorBidi" w:hAnsiTheme="majorBidi" w:cstheme="majorBidi"/>
                <w:szCs w:val="24"/>
                <w:lang w:val="es-ES"/>
              </w:rPr>
              <w:t>:</w:t>
            </w:r>
          </w:p>
          <w:p w14:paraId="0A3FA016" w14:textId="51DA20FC" w:rsidR="00967792" w:rsidRPr="00D2027A" w:rsidRDefault="00967792" w:rsidP="00B53355">
            <w:pPr>
              <w:pStyle w:val="Tabletext"/>
              <w:rPr>
                <w:rFonts w:asciiTheme="majorBidi" w:hAnsiTheme="majorBidi" w:cstheme="majorBidi"/>
                <w:szCs w:val="24"/>
                <w:lang w:val="es-ES"/>
              </w:rPr>
            </w:pPr>
            <w:r w:rsidRPr="00266695">
              <w:rPr>
                <w:lang w:val="es-ES"/>
              </w:rPr>
              <w:t>Reemplazada</w:t>
            </w:r>
            <w:r w:rsidRPr="00D2027A">
              <w:rPr>
                <w:rFonts w:asciiTheme="majorBidi" w:hAnsiTheme="majorBidi" w:cstheme="majorBidi"/>
                <w:szCs w:val="24"/>
                <w:lang w:val="es-ES"/>
              </w:rPr>
              <w:t xml:space="preserve"> por decisión de la CMR</w:t>
            </w:r>
            <w:r w:rsidRPr="00D2027A">
              <w:rPr>
                <w:rFonts w:asciiTheme="majorBidi" w:hAnsiTheme="majorBidi" w:cstheme="majorBidi"/>
                <w:szCs w:val="24"/>
                <w:lang w:val="es-ES"/>
              </w:rPr>
              <w:noBreakHyphen/>
              <w:t>07 (nota</w:t>
            </w:r>
            <w:r w:rsidR="00813F9B">
              <w:rPr>
                <w:rFonts w:asciiTheme="majorBidi" w:hAnsiTheme="majorBidi" w:cstheme="majorBidi"/>
                <w:szCs w:val="24"/>
                <w:lang w:val="es-ES"/>
              </w:rPr>
              <w:t> </w:t>
            </w:r>
            <w:r w:rsidRPr="00D2027A">
              <w:rPr>
                <w:rFonts w:asciiTheme="majorBidi" w:hAnsiTheme="majorBidi" w:cstheme="majorBidi"/>
                <w:szCs w:val="24"/>
                <w:lang w:val="es-ES"/>
              </w:rPr>
              <w:t>2 al Artículo </w:t>
            </w:r>
            <w:r w:rsidRPr="00813F9B">
              <w:rPr>
                <w:rFonts w:asciiTheme="majorBidi" w:hAnsiTheme="majorBidi" w:cstheme="majorBidi"/>
                <w:b/>
                <w:bCs/>
                <w:szCs w:val="24"/>
                <w:lang w:val="es-ES"/>
              </w:rPr>
              <w:t>6</w:t>
            </w:r>
            <w:r w:rsidRPr="00D2027A">
              <w:rPr>
                <w:rFonts w:asciiTheme="majorBidi" w:hAnsiTheme="majorBidi" w:cstheme="majorBidi"/>
                <w:szCs w:val="24"/>
                <w:lang w:val="es-ES"/>
              </w:rPr>
              <w:t xml:space="preserve"> del Apéndice </w:t>
            </w:r>
            <w:r w:rsidRPr="00813F9B">
              <w:rPr>
                <w:rFonts w:asciiTheme="majorBidi" w:hAnsiTheme="majorBidi" w:cstheme="majorBidi"/>
                <w:b/>
                <w:bCs/>
                <w:szCs w:val="24"/>
                <w:lang w:val="es-ES"/>
              </w:rPr>
              <w:t>30B</w:t>
            </w:r>
            <w:r w:rsidRPr="00D2027A">
              <w:rPr>
                <w:rFonts w:asciiTheme="majorBidi" w:hAnsiTheme="majorBidi" w:cstheme="majorBidi"/>
                <w:szCs w:val="24"/>
                <w:lang w:val="es-ES"/>
              </w:rPr>
              <w:t>).</w:t>
            </w:r>
          </w:p>
        </w:tc>
      </w:tr>
      <w:tr w:rsidR="00967792" w:rsidRPr="00D2027A" w14:paraId="1303331C" w14:textId="77777777" w:rsidTr="00924C8B">
        <w:tblPrEx>
          <w:tblLook w:val="04A0" w:firstRow="1" w:lastRow="0" w:firstColumn="1" w:lastColumn="0" w:noHBand="0" w:noVBand="1"/>
        </w:tblPrEx>
        <w:trPr>
          <w:jc w:val="center"/>
        </w:trPr>
        <w:tc>
          <w:tcPr>
            <w:tcW w:w="183" w:type="pct"/>
          </w:tcPr>
          <w:p w14:paraId="353BEC00" w14:textId="77777777" w:rsidR="00967792" w:rsidRPr="00A616CA" w:rsidRDefault="00967792" w:rsidP="00B53355">
            <w:pPr>
              <w:pStyle w:val="Tabletext"/>
              <w:rPr>
                <w:lang w:val="es-ES"/>
              </w:rPr>
            </w:pPr>
            <w:r w:rsidRPr="00A616CA">
              <w:rPr>
                <w:lang w:val="es-ES"/>
              </w:rPr>
              <w:t>12</w:t>
            </w:r>
          </w:p>
        </w:tc>
        <w:tc>
          <w:tcPr>
            <w:tcW w:w="434" w:type="pct"/>
          </w:tcPr>
          <w:p w14:paraId="56D9807C" w14:textId="000BF946" w:rsidR="00967792" w:rsidRPr="00A616CA" w:rsidRDefault="00967792" w:rsidP="00B53355">
            <w:pPr>
              <w:pStyle w:val="Tabletext"/>
              <w:rPr>
                <w:lang w:val="es-ES"/>
              </w:rPr>
            </w:pPr>
            <w:r w:rsidRPr="00A616CA">
              <w:rPr>
                <w:lang w:val="es-ES"/>
              </w:rPr>
              <w:t>CMR-03</w:t>
            </w:r>
          </w:p>
        </w:tc>
        <w:tc>
          <w:tcPr>
            <w:tcW w:w="523" w:type="pct"/>
          </w:tcPr>
          <w:p w14:paraId="64500AD7" w14:textId="348A2689" w:rsidR="00967792" w:rsidRPr="00813F9B" w:rsidRDefault="00967792" w:rsidP="00B53355">
            <w:pPr>
              <w:pStyle w:val="Tabletext"/>
              <w:rPr>
                <w:rFonts w:asciiTheme="majorBidi" w:eastAsia="Malgun Gothic" w:hAnsiTheme="majorBidi" w:cstheme="majorBidi"/>
                <w:bCs/>
                <w:lang w:val="es-ES" w:eastAsia="ko-KR"/>
              </w:rPr>
            </w:pPr>
            <w:r w:rsidRPr="00813F9B">
              <w:rPr>
                <w:rFonts w:asciiTheme="majorBidi" w:eastAsia="Malgun Gothic" w:hAnsiTheme="majorBidi" w:cstheme="majorBidi"/>
                <w:bCs/>
                <w:lang w:val="es-ES" w:eastAsia="ko-KR"/>
              </w:rPr>
              <w:t>7ª Plenaria</w:t>
            </w:r>
            <w:r w:rsidR="00813F9B" w:rsidRPr="00813F9B">
              <w:rPr>
                <w:rFonts w:asciiTheme="majorBidi" w:eastAsia="Malgun Gothic" w:hAnsiTheme="majorBidi" w:cstheme="majorBidi"/>
                <w:bCs/>
                <w:lang w:val="es-ES" w:eastAsia="ko-KR"/>
              </w:rPr>
              <w:br/>
            </w:r>
            <w:hyperlink r:id="rId38" w:history="1">
              <w:r w:rsidRPr="00813F9B">
                <w:rPr>
                  <w:rStyle w:val="Hyperlink"/>
                  <w:rFonts w:asciiTheme="majorBidi" w:eastAsia="Malgun Gothic" w:hAnsiTheme="majorBidi" w:cstheme="majorBidi"/>
                  <w:bCs/>
                  <w:lang w:val="es-ES" w:eastAsia="ko-KR"/>
                </w:rPr>
                <w:t>Doc. 403</w:t>
              </w:r>
            </w:hyperlink>
          </w:p>
        </w:tc>
        <w:tc>
          <w:tcPr>
            <w:tcW w:w="2312" w:type="pct"/>
          </w:tcPr>
          <w:p w14:paraId="6DBCD702" w14:textId="77777777" w:rsidR="00967792" w:rsidRPr="00813F9B" w:rsidRDefault="00967792" w:rsidP="00B53355">
            <w:pPr>
              <w:spacing w:before="40" w:after="40"/>
              <w:jc w:val="both"/>
              <w:rPr>
                <w:rFonts w:asciiTheme="majorBidi" w:hAnsiTheme="majorBidi" w:cstheme="majorBidi"/>
                <w:b/>
                <w:bCs/>
                <w:i/>
                <w:iCs/>
                <w:sz w:val="22"/>
                <w:lang w:val="es-ES"/>
              </w:rPr>
            </w:pPr>
            <w:r w:rsidRPr="00813F9B">
              <w:rPr>
                <w:rFonts w:asciiTheme="majorBidi" w:hAnsiTheme="majorBidi" w:cstheme="majorBidi"/>
                <w:b/>
                <w:bCs/>
                <w:i/>
                <w:iCs/>
                <w:sz w:val="22"/>
                <w:lang w:val="es-ES"/>
              </w:rPr>
              <w:t>Resolución 144 (CMR-03)</w:t>
            </w:r>
          </w:p>
          <w:p w14:paraId="00916011" w14:textId="0F06F80E" w:rsidR="00967792" w:rsidRPr="00813F9B" w:rsidRDefault="00967792" w:rsidP="00B53355">
            <w:pPr>
              <w:spacing w:before="40" w:after="40"/>
              <w:rPr>
                <w:sz w:val="22"/>
                <w:lang w:val="es-ES"/>
              </w:rPr>
            </w:pPr>
            <w:r w:rsidRPr="00813F9B">
              <w:rPr>
                <w:sz w:val="22"/>
                <w:lang w:val="es-ES"/>
              </w:rPr>
              <w:t>4.1</w:t>
            </w:r>
            <w:r w:rsidRPr="00813F9B">
              <w:rPr>
                <w:sz w:val="22"/>
                <w:lang w:val="es-ES"/>
              </w:rPr>
              <w:tab/>
              <w:t xml:space="preserve">El </w:t>
            </w:r>
            <w:r w:rsidRPr="00813F9B">
              <w:rPr>
                <w:b/>
                <w:bCs/>
                <w:sz w:val="22"/>
                <w:lang w:val="es-ES"/>
              </w:rPr>
              <w:t>Presidente de la Comisión 5</w:t>
            </w:r>
            <w:r w:rsidRPr="00813F9B">
              <w:rPr>
                <w:sz w:val="22"/>
                <w:lang w:val="es-ES"/>
              </w:rPr>
              <w:t xml:space="preserve"> presenta el </w:t>
            </w:r>
            <w:hyperlink r:id="rId39" w:history="1">
              <w:r w:rsidR="00813F9B">
                <w:rPr>
                  <w:rStyle w:val="Hyperlink"/>
                  <w:sz w:val="22"/>
                  <w:lang w:val="es-ES"/>
                </w:rPr>
                <w:t>Documento 322</w:t>
              </w:r>
            </w:hyperlink>
            <w:r w:rsidRPr="00813F9B">
              <w:rPr>
                <w:sz w:val="22"/>
                <w:lang w:val="es-ES"/>
              </w:rPr>
              <w:t>, en el que se da información acerca de su consulta al Presidente de la</w:t>
            </w:r>
            <w:r w:rsidR="00924C8B">
              <w:rPr>
                <w:sz w:val="22"/>
                <w:lang w:val="es-ES"/>
              </w:rPr>
              <w:t> </w:t>
            </w:r>
            <w:r w:rsidRPr="00813F9B">
              <w:rPr>
                <w:sz w:val="22"/>
                <w:lang w:val="es-ES"/>
              </w:rPr>
              <w:t>RRB sobre temas relativos al punto 1.12 del orden del día (Resolución </w:t>
            </w:r>
            <w:r w:rsidRPr="00813F9B">
              <w:rPr>
                <w:b/>
                <w:bCs/>
                <w:sz w:val="22"/>
                <w:lang w:val="es-ES"/>
              </w:rPr>
              <w:t>723</w:t>
            </w:r>
            <w:r w:rsidRPr="00813F9B">
              <w:rPr>
                <w:sz w:val="22"/>
                <w:lang w:val="es-ES"/>
              </w:rPr>
              <w:t xml:space="preserve">, </w:t>
            </w:r>
            <w:r w:rsidRPr="00813F9B">
              <w:rPr>
                <w:i/>
                <w:iCs/>
                <w:sz w:val="22"/>
                <w:lang w:val="es-ES"/>
              </w:rPr>
              <w:t>resuelve </w:t>
            </w:r>
            <w:r w:rsidRPr="00813F9B">
              <w:rPr>
                <w:sz w:val="22"/>
                <w:lang w:val="es-ES"/>
              </w:rPr>
              <w:t xml:space="preserve">1), con respecto al cual la Administración de Finlandia emitió una reserva. A raíz de las respuestas facilitadas por la RRB, Finlandia aceptó retirar esa reserva. Además, señala a los presentes el Anexo 2 al </w:t>
            </w:r>
            <w:hyperlink r:id="rId40" w:history="1">
              <w:r w:rsidRPr="00813F9B">
                <w:rPr>
                  <w:rStyle w:val="Hyperlink"/>
                  <w:sz w:val="22"/>
                  <w:lang w:val="es-ES"/>
                </w:rPr>
                <w:t>Documento 322</w:t>
              </w:r>
            </w:hyperlink>
            <w:r w:rsidRPr="00813F9B">
              <w:rPr>
                <w:sz w:val="22"/>
                <w:lang w:val="es-ES"/>
              </w:rPr>
              <w:t xml:space="preserve">, en el cual se recoge la siguiente declaración formulada por el Presidente del Grupo </w:t>
            </w:r>
            <w:r w:rsidRPr="00924C8B">
              <w:rPr>
                <w:i/>
                <w:iCs/>
                <w:sz w:val="22"/>
                <w:lang w:val="es-ES"/>
              </w:rPr>
              <w:t>ad hoc</w:t>
            </w:r>
            <w:r w:rsidRPr="00813F9B">
              <w:rPr>
                <w:sz w:val="22"/>
                <w:lang w:val="es-ES"/>
              </w:rPr>
              <w:t> 5 (Pequeños países) y acordada por la Comisión 5 después de que ésta aprobase la Resolución </w:t>
            </w:r>
            <w:r w:rsidR="00813F9B" w:rsidRPr="00813F9B">
              <w:rPr>
                <w:b/>
                <w:bCs/>
                <w:sz w:val="22"/>
                <w:lang w:val="es-ES"/>
              </w:rPr>
              <w:t xml:space="preserve">144 </w:t>
            </w:r>
            <w:r w:rsidRPr="00813F9B">
              <w:rPr>
                <w:sz w:val="22"/>
                <w:lang w:val="es-ES"/>
              </w:rPr>
              <w:t>[</w:t>
            </w:r>
            <w:r w:rsidRPr="00813F9B">
              <w:rPr>
                <w:b/>
                <w:bCs/>
                <w:sz w:val="22"/>
                <w:lang w:val="es-ES"/>
              </w:rPr>
              <w:t>COM5/15</w:t>
            </w:r>
            <w:r w:rsidRPr="00813F9B">
              <w:rPr>
                <w:sz w:val="22"/>
                <w:lang w:val="es-ES"/>
              </w:rPr>
              <w:t xml:space="preserve">] </w:t>
            </w:r>
            <w:r w:rsidRPr="00813F9B">
              <w:rPr>
                <w:b/>
                <w:bCs/>
                <w:sz w:val="22"/>
                <w:lang w:val="es-ES"/>
              </w:rPr>
              <w:t>(CMR</w:t>
            </w:r>
            <w:r w:rsidRPr="00813F9B">
              <w:rPr>
                <w:b/>
                <w:bCs/>
                <w:sz w:val="22"/>
                <w:lang w:val="es-ES"/>
              </w:rPr>
              <w:noBreakHyphen/>
              <w:t>03)</w:t>
            </w:r>
            <w:r w:rsidRPr="00813F9B">
              <w:rPr>
                <w:sz w:val="22"/>
                <w:lang w:val="es-ES"/>
              </w:rPr>
              <w:t>:</w:t>
            </w:r>
          </w:p>
          <w:p w14:paraId="641F14DC" w14:textId="52AB3188" w:rsidR="00967792" w:rsidRPr="00813F9B" w:rsidRDefault="00967792" w:rsidP="00251EE1">
            <w:pPr>
              <w:spacing w:before="40" w:after="40"/>
              <w:rPr>
                <w:sz w:val="22"/>
                <w:lang w:val="es-ES"/>
              </w:rPr>
            </w:pPr>
            <w:r w:rsidRPr="00813F9B">
              <w:rPr>
                <w:sz w:val="22"/>
                <w:lang w:val="es-ES"/>
              </w:rPr>
              <w:t>«Tras la aprobación de esta Resolución, la Comisión 5 aceptó la recomendación del Presidente del Grupo </w:t>
            </w:r>
            <w:r w:rsidRPr="00251EE1">
              <w:rPr>
                <w:i/>
                <w:iCs/>
                <w:sz w:val="22"/>
                <w:lang w:val="es-ES"/>
              </w:rPr>
              <w:t>ad hoc</w:t>
            </w:r>
            <w:r w:rsidRPr="00813F9B">
              <w:rPr>
                <w:sz w:val="22"/>
                <w:lang w:val="es-ES"/>
              </w:rPr>
              <w:t> 5 (Pequeños países) en el sentido de que los estudios del UIT</w:t>
            </w:r>
            <w:r w:rsidRPr="00813F9B">
              <w:rPr>
                <w:sz w:val="22"/>
                <w:lang w:val="es-ES"/>
              </w:rPr>
              <w:noBreakHyphen/>
              <w:t>R indicados en la Resolución debe realizarlos la Comisión de Estudio 4 del UIT</w:t>
            </w:r>
            <w:r w:rsidRPr="00813F9B">
              <w:rPr>
                <w:sz w:val="22"/>
                <w:lang w:val="es-ES"/>
              </w:rPr>
              <w:noBreakHyphen/>
              <w:t>R y que esta conclusión debe inscribirse en las Actas de la Plenaria».</w:t>
            </w:r>
          </w:p>
          <w:p w14:paraId="17702DF7" w14:textId="77777777" w:rsidR="00967792" w:rsidRPr="00813F9B" w:rsidRDefault="00967792" w:rsidP="00B53355">
            <w:pPr>
              <w:spacing w:before="40" w:after="40"/>
              <w:rPr>
                <w:sz w:val="22"/>
                <w:lang w:val="es-ES"/>
              </w:rPr>
            </w:pPr>
            <w:r w:rsidRPr="00813F9B">
              <w:rPr>
                <w:sz w:val="22"/>
                <w:lang w:val="es-ES"/>
              </w:rPr>
              <w:t>4.2</w:t>
            </w:r>
            <w:r w:rsidRPr="00813F9B">
              <w:rPr>
                <w:sz w:val="22"/>
                <w:lang w:val="es-ES"/>
              </w:rPr>
              <w:tab/>
              <w:t xml:space="preserve">La </w:t>
            </w:r>
            <w:r w:rsidRPr="00813F9B">
              <w:rPr>
                <w:b/>
                <w:bCs/>
                <w:sz w:val="22"/>
                <w:lang w:val="es-ES"/>
              </w:rPr>
              <w:t>Presidenta</w:t>
            </w:r>
            <w:r w:rsidRPr="00813F9B">
              <w:rPr>
                <w:sz w:val="22"/>
                <w:lang w:val="es-ES"/>
              </w:rPr>
              <w:t xml:space="preserve"> dice que, al no haber ninguna objeción, entiende que los participantes de la reunión desean aprobar la conclusión de la Comisión 5.</w:t>
            </w:r>
          </w:p>
          <w:p w14:paraId="45A02D34" w14:textId="77777777" w:rsidR="00967792" w:rsidRPr="00813F9B" w:rsidRDefault="00967792" w:rsidP="00B53355">
            <w:pPr>
              <w:spacing w:before="40" w:after="40"/>
              <w:rPr>
                <w:sz w:val="22"/>
                <w:lang w:val="es-ES"/>
              </w:rPr>
            </w:pPr>
            <w:r w:rsidRPr="00813F9B">
              <w:rPr>
                <w:sz w:val="22"/>
                <w:lang w:val="es-ES"/>
              </w:rPr>
              <w:t>4.3</w:t>
            </w:r>
            <w:r w:rsidRPr="00813F9B">
              <w:rPr>
                <w:sz w:val="22"/>
                <w:lang w:val="es-ES"/>
              </w:rPr>
              <w:tab/>
              <w:t xml:space="preserve">Así se </w:t>
            </w:r>
            <w:r w:rsidRPr="00813F9B">
              <w:rPr>
                <w:b/>
                <w:bCs/>
                <w:sz w:val="22"/>
                <w:lang w:val="es-ES"/>
              </w:rPr>
              <w:t>acuerda</w:t>
            </w:r>
            <w:r w:rsidRPr="00813F9B">
              <w:rPr>
                <w:sz w:val="22"/>
                <w:lang w:val="es-ES"/>
              </w:rPr>
              <w:t>.</w:t>
            </w:r>
          </w:p>
        </w:tc>
        <w:tc>
          <w:tcPr>
            <w:tcW w:w="1548" w:type="pct"/>
          </w:tcPr>
          <w:p w14:paraId="01757B2E" w14:textId="50AB2E54" w:rsidR="00967792" w:rsidRPr="00D2027A" w:rsidRDefault="00967792" w:rsidP="00B53355">
            <w:pPr>
              <w:pStyle w:val="Tabletext"/>
              <w:rPr>
                <w:rFonts w:asciiTheme="majorBidi" w:hAnsiTheme="majorBidi" w:cstheme="majorBidi"/>
                <w:szCs w:val="24"/>
                <w:lang w:val="es-ES"/>
              </w:rPr>
            </w:pPr>
            <w:r w:rsidRPr="00D2027A">
              <w:rPr>
                <w:rFonts w:asciiTheme="majorBidi" w:hAnsiTheme="majorBidi" w:cstheme="majorBidi"/>
                <w:szCs w:val="24"/>
                <w:lang w:val="es-ES"/>
              </w:rPr>
              <w:t>Los estudios solicitados en el resuelve 1 de la Resolución </w:t>
            </w:r>
            <w:r w:rsidRPr="00813F9B">
              <w:rPr>
                <w:rFonts w:asciiTheme="majorBidi" w:hAnsiTheme="majorBidi" w:cstheme="majorBidi"/>
                <w:b/>
                <w:bCs/>
                <w:szCs w:val="24"/>
                <w:lang w:val="es-ES"/>
              </w:rPr>
              <w:t>144</w:t>
            </w:r>
            <w:r w:rsidRPr="00D2027A">
              <w:rPr>
                <w:rFonts w:asciiTheme="majorBidi" w:hAnsiTheme="majorBidi" w:cstheme="majorBidi"/>
                <w:szCs w:val="24"/>
                <w:lang w:val="es-ES"/>
              </w:rPr>
              <w:t xml:space="preserve"> figuran en la Recomendación UIT</w:t>
            </w:r>
            <w:r w:rsidRPr="00D2027A">
              <w:rPr>
                <w:rFonts w:asciiTheme="majorBidi" w:hAnsiTheme="majorBidi" w:cstheme="majorBidi"/>
                <w:szCs w:val="24"/>
                <w:lang w:val="es-ES"/>
              </w:rPr>
              <w:noBreakHyphen/>
              <w:t>R S.1712 «Metodologías para determinar si una estación terrena del SFS en un emplazamiento determinado puede transmitir en la banda 13,75</w:t>
            </w:r>
            <w:r w:rsidRPr="00D2027A">
              <w:rPr>
                <w:rFonts w:asciiTheme="majorBidi" w:hAnsiTheme="majorBidi" w:cstheme="majorBidi"/>
                <w:szCs w:val="24"/>
                <w:lang w:val="es-ES"/>
              </w:rPr>
              <w:noBreakHyphen/>
              <w:t xml:space="preserve">14 GHz sin rebasar los límites de la dfp del número </w:t>
            </w:r>
            <w:r w:rsidRPr="00813F9B">
              <w:rPr>
                <w:rFonts w:asciiTheme="majorBidi" w:hAnsiTheme="majorBidi" w:cstheme="majorBidi"/>
                <w:b/>
                <w:bCs/>
                <w:szCs w:val="24"/>
                <w:lang w:val="es-ES"/>
              </w:rPr>
              <w:t>5.</w:t>
            </w:r>
            <w:r w:rsidRPr="00813F9B">
              <w:rPr>
                <w:b/>
                <w:bCs/>
                <w:lang w:val="es-ES"/>
              </w:rPr>
              <w:t>502</w:t>
            </w:r>
            <w:r w:rsidRPr="00D2027A">
              <w:rPr>
                <w:rFonts w:asciiTheme="majorBidi" w:hAnsiTheme="majorBidi" w:cstheme="majorBidi"/>
                <w:szCs w:val="24"/>
                <w:lang w:val="es-ES"/>
              </w:rPr>
              <w:t xml:space="preserve"> del RR y directrices para reducir el exceso».</w:t>
            </w:r>
          </w:p>
        </w:tc>
      </w:tr>
      <w:tr w:rsidR="00967792" w:rsidRPr="00D2027A" w14:paraId="76AF8CB5" w14:textId="77777777" w:rsidTr="00924C8B">
        <w:tblPrEx>
          <w:tblLook w:val="04A0" w:firstRow="1" w:lastRow="0" w:firstColumn="1" w:lastColumn="0" w:noHBand="0" w:noVBand="1"/>
        </w:tblPrEx>
        <w:trPr>
          <w:jc w:val="center"/>
        </w:trPr>
        <w:tc>
          <w:tcPr>
            <w:tcW w:w="183" w:type="pct"/>
          </w:tcPr>
          <w:p w14:paraId="7CCC70C4" w14:textId="77777777" w:rsidR="00967792" w:rsidRPr="00A616CA" w:rsidRDefault="00967792" w:rsidP="00B53355">
            <w:pPr>
              <w:pStyle w:val="Tabletext"/>
              <w:rPr>
                <w:lang w:val="es-ES"/>
              </w:rPr>
            </w:pPr>
            <w:r w:rsidRPr="00A616CA">
              <w:rPr>
                <w:lang w:val="es-ES"/>
              </w:rPr>
              <w:t>13</w:t>
            </w:r>
          </w:p>
        </w:tc>
        <w:tc>
          <w:tcPr>
            <w:tcW w:w="434" w:type="pct"/>
          </w:tcPr>
          <w:p w14:paraId="4A0F125D" w14:textId="1B6EDA89" w:rsidR="00967792" w:rsidRPr="00A616CA" w:rsidRDefault="00967792" w:rsidP="00B53355">
            <w:pPr>
              <w:pStyle w:val="Tabletext"/>
              <w:rPr>
                <w:lang w:val="es-ES"/>
              </w:rPr>
            </w:pPr>
            <w:r w:rsidRPr="00A616CA">
              <w:rPr>
                <w:lang w:val="es-ES"/>
              </w:rPr>
              <w:t>CMR-03</w:t>
            </w:r>
          </w:p>
        </w:tc>
        <w:tc>
          <w:tcPr>
            <w:tcW w:w="523" w:type="pct"/>
          </w:tcPr>
          <w:p w14:paraId="24811405" w14:textId="205A51D0" w:rsidR="00967792" w:rsidRPr="00813F9B" w:rsidRDefault="00967792" w:rsidP="00B53355">
            <w:pPr>
              <w:pStyle w:val="Tabletext"/>
              <w:rPr>
                <w:rFonts w:asciiTheme="majorBidi" w:eastAsia="Malgun Gothic" w:hAnsiTheme="majorBidi" w:cstheme="majorBidi"/>
                <w:bCs/>
                <w:lang w:val="es-ES" w:eastAsia="ko-KR"/>
              </w:rPr>
            </w:pPr>
            <w:r w:rsidRPr="00813F9B">
              <w:rPr>
                <w:rFonts w:asciiTheme="majorBidi" w:eastAsia="Malgun Gothic" w:hAnsiTheme="majorBidi" w:cstheme="majorBidi"/>
                <w:bCs/>
                <w:lang w:val="es-ES" w:eastAsia="ko-KR"/>
              </w:rPr>
              <w:t>9ª Plenaria</w:t>
            </w:r>
            <w:r w:rsidR="00813F9B" w:rsidRPr="00813F9B">
              <w:rPr>
                <w:rFonts w:asciiTheme="majorBidi" w:eastAsia="Malgun Gothic" w:hAnsiTheme="majorBidi" w:cstheme="majorBidi"/>
                <w:bCs/>
                <w:lang w:val="es-ES" w:eastAsia="ko-KR"/>
              </w:rPr>
              <w:br/>
            </w:r>
            <w:hyperlink r:id="rId41" w:history="1">
              <w:r w:rsidRPr="00813F9B">
                <w:rPr>
                  <w:rStyle w:val="Hyperlink"/>
                  <w:rFonts w:asciiTheme="majorBidi" w:eastAsia="Malgun Gothic" w:hAnsiTheme="majorBidi" w:cstheme="majorBidi"/>
                  <w:bCs/>
                  <w:lang w:val="es-ES" w:eastAsia="ko-KR"/>
                </w:rPr>
                <w:t>Doc. 405</w:t>
              </w:r>
            </w:hyperlink>
          </w:p>
        </w:tc>
        <w:tc>
          <w:tcPr>
            <w:tcW w:w="2312" w:type="pct"/>
          </w:tcPr>
          <w:p w14:paraId="06E9C77B" w14:textId="77777777" w:rsidR="00967792" w:rsidRPr="00813F9B" w:rsidRDefault="00967792" w:rsidP="00B53355">
            <w:pPr>
              <w:pStyle w:val="Headingb"/>
              <w:spacing w:before="40" w:after="40"/>
              <w:rPr>
                <w:rFonts w:asciiTheme="majorBidi" w:hAnsiTheme="majorBidi" w:cstheme="majorBidi"/>
                <w:i/>
                <w:iCs/>
                <w:sz w:val="22"/>
                <w:lang w:val="es-ES"/>
              </w:rPr>
            </w:pPr>
            <w:r w:rsidRPr="00813F9B">
              <w:rPr>
                <w:rFonts w:asciiTheme="majorBidi" w:hAnsiTheme="majorBidi" w:cstheme="majorBidi"/>
                <w:i/>
                <w:iCs/>
                <w:sz w:val="22"/>
                <w:lang w:val="es-ES"/>
              </w:rPr>
              <w:t>Modificaciones del Artículo 11 (DbiU)</w:t>
            </w:r>
          </w:p>
          <w:p w14:paraId="51966DFC" w14:textId="77777777" w:rsidR="00967792" w:rsidRPr="00813F9B" w:rsidRDefault="00967792" w:rsidP="00B53355">
            <w:pPr>
              <w:spacing w:before="40" w:after="40"/>
              <w:rPr>
                <w:sz w:val="22"/>
                <w:lang w:val="es-ES"/>
              </w:rPr>
            </w:pPr>
            <w:r w:rsidRPr="00813F9B">
              <w:rPr>
                <w:sz w:val="22"/>
                <w:lang w:val="es-ES"/>
              </w:rPr>
              <w:t>2.60</w:t>
            </w:r>
            <w:r w:rsidRPr="00813F9B">
              <w:rPr>
                <w:sz w:val="22"/>
                <w:lang w:val="es-ES"/>
              </w:rPr>
              <w:tab/>
              <w:t xml:space="preserve">El </w:t>
            </w:r>
            <w:r w:rsidRPr="00813F9B">
              <w:rPr>
                <w:b/>
                <w:bCs/>
                <w:sz w:val="22"/>
                <w:lang w:val="es-ES"/>
              </w:rPr>
              <w:t>representante de la BR</w:t>
            </w:r>
            <w:r w:rsidRPr="00813F9B">
              <w:rPr>
                <w:sz w:val="22"/>
                <w:lang w:val="es-ES"/>
              </w:rPr>
              <w:t xml:space="preserve"> dice que, a la vista de los cambios que acaban de aprobarse en lo que concierne a la fecha de puesta en servicio de las redes de satélite, existe un cierto número de redes con respecto a las cuales las administraciones enviaron la información requerida para la publicación anticipada después del 22 de noviembre de 1997, y la disposición vigente hasta el término de la CMR</w:t>
            </w:r>
            <w:r w:rsidRPr="00813F9B">
              <w:rPr>
                <w:sz w:val="22"/>
                <w:lang w:val="es-ES"/>
              </w:rPr>
              <w:noBreakHyphen/>
              <w:t>03 en lo que respecta a la aplicación de los números </w:t>
            </w:r>
            <w:r w:rsidRPr="00813F9B">
              <w:rPr>
                <w:b/>
                <w:bCs/>
                <w:sz w:val="22"/>
                <w:lang w:val="es-ES"/>
              </w:rPr>
              <w:t>11.44</w:t>
            </w:r>
            <w:r w:rsidRPr="00813F9B">
              <w:rPr>
                <w:sz w:val="22"/>
                <w:lang w:val="es-ES"/>
              </w:rPr>
              <w:t> y </w:t>
            </w:r>
            <w:r w:rsidRPr="00813F9B">
              <w:rPr>
                <w:b/>
                <w:bCs/>
                <w:sz w:val="22"/>
                <w:lang w:val="es-ES"/>
              </w:rPr>
              <w:t>11.48</w:t>
            </w:r>
            <w:r w:rsidRPr="00813F9B">
              <w:rPr>
                <w:sz w:val="22"/>
                <w:lang w:val="es-ES"/>
              </w:rPr>
              <w:t xml:space="preserve"> es que no se sobrepase un plazo de cinco años ni se solicite, además, una prórroga </w:t>
            </w:r>
            <w:r w:rsidRPr="00813F9B">
              <w:rPr>
                <w:sz w:val="22"/>
                <w:lang w:val="es-ES"/>
              </w:rPr>
              <w:lastRenderedPageBreak/>
              <w:t>de dos. Actualmente, se encuentran en proceso de coordinación varias redes de este tipo, para las cuales rige un plazo de cinco años y que serán sin duda objeto de una solicitud de prórroga de dos. Con el fin de abarcar la totalidad de estas redes, respecto de las cuales la Oficina recibió la información de publicación anticipada entre el 22 de noviembre de 1997 y el 5 de julio de 2003, la Oficina propone que de ahora en adelante se aplique un prórroga a todas las redes de satélite respecto de las cuales se recibió después del 21 de noviembre de 1997 la información estipulada en el número </w:t>
            </w:r>
            <w:r w:rsidRPr="00813F9B">
              <w:rPr>
                <w:b/>
                <w:bCs/>
                <w:sz w:val="22"/>
                <w:lang w:val="es-ES"/>
              </w:rPr>
              <w:t>9.1</w:t>
            </w:r>
            <w:r w:rsidRPr="00813F9B">
              <w:rPr>
                <w:sz w:val="22"/>
                <w:lang w:val="es-ES"/>
              </w:rPr>
              <w:t>, prórroga que llevaría a siete años el plazo entre la fecha de recepción de dicha información y la fecha de puesta en servicio de la red de que se trate. Las administraciones concernidas no tendrían necesidad ya de solicitar una ampliación del plazo fijado, pues la Oficina la concedería automáticamente, lo cual simplificaría la tarea de las administraciones y la Oficina.</w:t>
            </w:r>
          </w:p>
          <w:p w14:paraId="13062E26" w14:textId="77777777" w:rsidR="00967792" w:rsidRPr="00813F9B" w:rsidRDefault="00967792" w:rsidP="00B53355">
            <w:pPr>
              <w:spacing w:before="40" w:after="40"/>
              <w:rPr>
                <w:rFonts w:asciiTheme="majorBidi" w:hAnsiTheme="majorBidi" w:cstheme="majorBidi"/>
                <w:sz w:val="22"/>
                <w:lang w:val="es-ES"/>
              </w:rPr>
            </w:pPr>
            <w:r w:rsidRPr="00813F9B">
              <w:rPr>
                <w:rFonts w:asciiTheme="majorBidi" w:hAnsiTheme="majorBidi" w:cstheme="majorBidi"/>
                <w:sz w:val="22"/>
                <w:lang w:val="es-ES"/>
              </w:rPr>
              <w:t>…</w:t>
            </w:r>
          </w:p>
          <w:p w14:paraId="6F2513DC" w14:textId="77777777" w:rsidR="00967792" w:rsidRPr="00813F9B" w:rsidRDefault="00967792" w:rsidP="00B53355">
            <w:pPr>
              <w:spacing w:before="40" w:after="40"/>
              <w:rPr>
                <w:sz w:val="22"/>
                <w:lang w:val="es-ES"/>
              </w:rPr>
            </w:pPr>
            <w:r w:rsidRPr="00813F9B">
              <w:rPr>
                <w:sz w:val="22"/>
                <w:lang w:val="es-ES"/>
              </w:rPr>
              <w:t>2.66</w:t>
            </w:r>
            <w:r w:rsidRPr="00813F9B">
              <w:rPr>
                <w:sz w:val="22"/>
                <w:lang w:val="es-ES"/>
              </w:rPr>
              <w:tab/>
              <w:t xml:space="preserve">La </w:t>
            </w:r>
            <w:r w:rsidRPr="00813F9B">
              <w:rPr>
                <w:b/>
                <w:bCs/>
                <w:sz w:val="22"/>
                <w:lang w:val="es-ES"/>
              </w:rPr>
              <w:t>Presidenta</w:t>
            </w:r>
            <w:r w:rsidRPr="00813F9B">
              <w:rPr>
                <w:sz w:val="22"/>
                <w:lang w:val="es-ES"/>
              </w:rPr>
              <w:t xml:space="preserve"> propone que los cambios que acaban de ser aprobados en lo que concierne a los Artículos </w:t>
            </w:r>
            <w:r w:rsidRPr="00813F9B">
              <w:rPr>
                <w:b/>
                <w:bCs/>
                <w:sz w:val="22"/>
                <w:lang w:val="es-ES"/>
              </w:rPr>
              <w:t>9</w:t>
            </w:r>
            <w:r w:rsidRPr="00813F9B">
              <w:rPr>
                <w:sz w:val="22"/>
                <w:lang w:val="es-ES"/>
              </w:rPr>
              <w:t> y </w:t>
            </w:r>
            <w:r w:rsidRPr="00813F9B">
              <w:rPr>
                <w:b/>
                <w:bCs/>
                <w:sz w:val="22"/>
                <w:lang w:val="es-ES"/>
              </w:rPr>
              <w:t>11</w:t>
            </w:r>
            <w:r w:rsidRPr="00813F9B">
              <w:rPr>
                <w:sz w:val="22"/>
                <w:lang w:val="es-ES"/>
              </w:rPr>
              <w:t xml:space="preserve"> se apliquen siguiendo el método propuesto por el representante de la BR.</w:t>
            </w:r>
          </w:p>
          <w:p w14:paraId="7C77D7A1" w14:textId="77777777" w:rsidR="00967792" w:rsidRPr="00813F9B" w:rsidRDefault="00967792" w:rsidP="00B53355">
            <w:pPr>
              <w:spacing w:before="40" w:after="40"/>
              <w:rPr>
                <w:sz w:val="22"/>
                <w:lang w:val="es-ES"/>
              </w:rPr>
            </w:pPr>
            <w:r w:rsidRPr="00813F9B">
              <w:rPr>
                <w:sz w:val="22"/>
                <w:lang w:val="es-ES"/>
              </w:rPr>
              <w:t>2.67</w:t>
            </w:r>
            <w:r w:rsidRPr="00813F9B">
              <w:rPr>
                <w:sz w:val="22"/>
                <w:lang w:val="es-ES"/>
              </w:rPr>
              <w:tab/>
              <w:t xml:space="preserve">Así se </w:t>
            </w:r>
            <w:r w:rsidRPr="00813F9B">
              <w:rPr>
                <w:b/>
                <w:bCs/>
                <w:sz w:val="22"/>
                <w:lang w:val="es-ES"/>
              </w:rPr>
              <w:t>acuerda</w:t>
            </w:r>
            <w:r w:rsidRPr="00813F9B">
              <w:rPr>
                <w:sz w:val="22"/>
                <w:lang w:val="es-ES"/>
              </w:rPr>
              <w:t>.</w:t>
            </w:r>
          </w:p>
        </w:tc>
        <w:tc>
          <w:tcPr>
            <w:tcW w:w="1548" w:type="pct"/>
          </w:tcPr>
          <w:p w14:paraId="150EDFE2" w14:textId="28981379" w:rsidR="00967792" w:rsidRPr="00266695" w:rsidRDefault="00967792" w:rsidP="00B53355">
            <w:pPr>
              <w:pStyle w:val="Tabletext"/>
              <w:rPr>
                <w:lang w:val="es-ES"/>
              </w:rPr>
            </w:pPr>
          </w:p>
        </w:tc>
      </w:tr>
      <w:tr w:rsidR="00813F9B" w:rsidRPr="00D2027A" w14:paraId="097C3AE8" w14:textId="77777777" w:rsidTr="00251EE1">
        <w:tblPrEx>
          <w:tblLook w:val="04A0" w:firstRow="1" w:lastRow="0" w:firstColumn="1" w:lastColumn="0" w:noHBand="0" w:noVBand="1"/>
        </w:tblPrEx>
        <w:trPr>
          <w:jc w:val="center"/>
        </w:trPr>
        <w:tc>
          <w:tcPr>
            <w:tcW w:w="183" w:type="pct"/>
            <w:tcBorders>
              <w:bottom w:val="nil"/>
            </w:tcBorders>
          </w:tcPr>
          <w:p w14:paraId="47B5F104" w14:textId="77777777" w:rsidR="00813F9B" w:rsidRPr="00A616CA" w:rsidRDefault="00813F9B" w:rsidP="00B53355">
            <w:pPr>
              <w:pStyle w:val="Tabletext"/>
              <w:rPr>
                <w:lang w:val="es-ES"/>
              </w:rPr>
            </w:pPr>
            <w:r w:rsidRPr="00A616CA">
              <w:rPr>
                <w:lang w:val="es-ES"/>
              </w:rPr>
              <w:t>14</w:t>
            </w:r>
          </w:p>
        </w:tc>
        <w:tc>
          <w:tcPr>
            <w:tcW w:w="434" w:type="pct"/>
            <w:tcBorders>
              <w:bottom w:val="nil"/>
            </w:tcBorders>
          </w:tcPr>
          <w:p w14:paraId="29EC0AA2" w14:textId="77777777" w:rsidR="00813F9B" w:rsidRPr="00A616CA" w:rsidRDefault="00813F9B" w:rsidP="00B53355">
            <w:pPr>
              <w:pStyle w:val="Tabletext"/>
              <w:rPr>
                <w:lang w:val="es-ES"/>
              </w:rPr>
            </w:pPr>
            <w:r w:rsidRPr="00A616CA">
              <w:rPr>
                <w:lang w:val="es-ES"/>
              </w:rPr>
              <w:t>CMR-03</w:t>
            </w:r>
          </w:p>
        </w:tc>
        <w:tc>
          <w:tcPr>
            <w:tcW w:w="523" w:type="pct"/>
            <w:tcBorders>
              <w:bottom w:val="nil"/>
            </w:tcBorders>
          </w:tcPr>
          <w:p w14:paraId="1D423BAD" w14:textId="2A80ED1B" w:rsidR="00813F9B" w:rsidRPr="00813F9B" w:rsidRDefault="00813F9B" w:rsidP="00B53355">
            <w:pPr>
              <w:pStyle w:val="Tabletext"/>
              <w:rPr>
                <w:rFonts w:asciiTheme="majorBidi" w:eastAsia="Malgun Gothic" w:hAnsiTheme="majorBidi" w:cstheme="majorBidi"/>
                <w:bCs/>
                <w:lang w:val="es-ES" w:eastAsia="ko-KR"/>
              </w:rPr>
            </w:pPr>
            <w:r w:rsidRPr="00813F9B">
              <w:rPr>
                <w:rFonts w:asciiTheme="majorBidi" w:eastAsia="Malgun Gothic" w:hAnsiTheme="majorBidi" w:cstheme="majorBidi"/>
                <w:bCs/>
                <w:lang w:val="es-ES" w:eastAsia="ko-KR"/>
              </w:rPr>
              <w:t>13ª Plenaria</w:t>
            </w:r>
            <w:r w:rsidRPr="00813F9B">
              <w:rPr>
                <w:rFonts w:asciiTheme="majorBidi" w:eastAsia="Malgun Gothic" w:hAnsiTheme="majorBidi" w:cstheme="majorBidi"/>
                <w:bCs/>
                <w:lang w:val="es-ES" w:eastAsia="ko-KR"/>
              </w:rPr>
              <w:br/>
            </w:r>
            <w:hyperlink r:id="rId42" w:history="1">
              <w:r w:rsidRPr="00813F9B">
                <w:rPr>
                  <w:rStyle w:val="Hyperlink"/>
                  <w:rFonts w:asciiTheme="majorBidi" w:eastAsia="Malgun Gothic" w:hAnsiTheme="majorBidi" w:cstheme="majorBidi"/>
                  <w:bCs/>
                  <w:lang w:val="es-ES" w:eastAsia="ko-KR"/>
                </w:rPr>
                <w:t>Doc</w:t>
              </w:r>
              <w:r>
                <w:rPr>
                  <w:rStyle w:val="Hyperlink"/>
                  <w:rFonts w:asciiTheme="majorBidi" w:eastAsia="Malgun Gothic" w:hAnsiTheme="majorBidi" w:cstheme="majorBidi"/>
                  <w:bCs/>
                  <w:lang w:val="es-ES" w:eastAsia="ko-KR"/>
                </w:rPr>
                <w:t>.</w:t>
              </w:r>
              <w:r w:rsidRPr="00813F9B">
                <w:rPr>
                  <w:rStyle w:val="Hyperlink"/>
                  <w:rFonts w:asciiTheme="majorBidi" w:eastAsia="Malgun Gothic" w:hAnsiTheme="majorBidi" w:cstheme="majorBidi"/>
                  <w:bCs/>
                  <w:lang w:val="es-ES" w:eastAsia="ko-KR"/>
                </w:rPr>
                <w:t xml:space="preserve"> 409</w:t>
              </w:r>
            </w:hyperlink>
          </w:p>
        </w:tc>
        <w:tc>
          <w:tcPr>
            <w:tcW w:w="2312" w:type="pct"/>
            <w:tcBorders>
              <w:bottom w:val="nil"/>
            </w:tcBorders>
          </w:tcPr>
          <w:p w14:paraId="10F8110D" w14:textId="77777777" w:rsidR="00813F9B" w:rsidRPr="00813F9B" w:rsidRDefault="00813F9B" w:rsidP="00B53355">
            <w:pPr>
              <w:pStyle w:val="Heading1"/>
              <w:spacing w:before="40" w:after="40"/>
              <w:outlineLvl w:val="0"/>
              <w:rPr>
                <w:sz w:val="22"/>
                <w:lang w:val="es-ES"/>
              </w:rPr>
            </w:pPr>
            <w:r w:rsidRPr="00813F9B">
              <w:rPr>
                <w:sz w:val="22"/>
                <w:lang w:val="es-ES"/>
              </w:rPr>
              <w:t>8</w:t>
            </w:r>
            <w:r w:rsidRPr="00813F9B">
              <w:rPr>
                <w:sz w:val="22"/>
                <w:lang w:val="es-ES"/>
              </w:rPr>
              <w:tab/>
              <w:t xml:space="preserve">Informe del Presidente del Grupo </w:t>
            </w:r>
            <w:r w:rsidRPr="00813F9B">
              <w:rPr>
                <w:i/>
                <w:iCs/>
                <w:sz w:val="22"/>
                <w:lang w:val="es-ES"/>
              </w:rPr>
              <w:t>ad hoc</w:t>
            </w:r>
            <w:r w:rsidRPr="00813F9B">
              <w:rPr>
                <w:sz w:val="22"/>
                <w:lang w:val="es-ES"/>
              </w:rPr>
              <w:t xml:space="preserve"> 4 de la Plenaria (Documento 384)</w:t>
            </w:r>
          </w:p>
          <w:p w14:paraId="17B2D1DA" w14:textId="605BE672" w:rsidR="00813F9B" w:rsidRPr="00813F9B" w:rsidRDefault="00813F9B" w:rsidP="00B53355">
            <w:pPr>
              <w:spacing w:before="40" w:after="40"/>
              <w:rPr>
                <w:sz w:val="22"/>
                <w:lang w:val="es-ES"/>
              </w:rPr>
            </w:pPr>
            <w:r w:rsidRPr="00813F9B">
              <w:rPr>
                <w:sz w:val="22"/>
                <w:lang w:val="es-ES"/>
              </w:rPr>
              <w:t>8.1</w:t>
            </w:r>
            <w:r w:rsidRPr="00813F9B">
              <w:rPr>
                <w:sz w:val="22"/>
                <w:lang w:val="es-ES"/>
              </w:rPr>
              <w:tab/>
              <w:t>El</w:t>
            </w:r>
            <w:r w:rsidRPr="00813F9B">
              <w:rPr>
                <w:b/>
                <w:sz w:val="22"/>
                <w:lang w:val="es-ES"/>
              </w:rPr>
              <w:t xml:space="preserve"> Presidente del Grupo </w:t>
            </w:r>
            <w:r w:rsidRPr="003B320A">
              <w:rPr>
                <w:b/>
                <w:i/>
                <w:iCs/>
                <w:sz w:val="22"/>
                <w:lang w:val="es-ES"/>
              </w:rPr>
              <w:t>ad hoc</w:t>
            </w:r>
            <w:r w:rsidRPr="00813F9B">
              <w:rPr>
                <w:b/>
                <w:sz w:val="22"/>
                <w:lang w:val="es-ES"/>
              </w:rPr>
              <w:t> 4 de la Plenaria</w:t>
            </w:r>
            <w:r w:rsidRPr="00813F9B">
              <w:rPr>
                <w:sz w:val="22"/>
                <w:lang w:val="es-ES"/>
              </w:rPr>
              <w:t xml:space="preserve"> presenta el </w:t>
            </w:r>
            <w:hyperlink r:id="rId43" w:history="1">
              <w:r w:rsidRPr="00813F9B">
                <w:rPr>
                  <w:rStyle w:val="Hyperlink"/>
                  <w:sz w:val="22"/>
                  <w:lang w:val="es-ES"/>
                </w:rPr>
                <w:t>Documento 384</w:t>
              </w:r>
            </w:hyperlink>
            <w:r w:rsidRPr="00813F9B">
              <w:rPr>
                <w:sz w:val="22"/>
                <w:lang w:val="es-ES"/>
              </w:rPr>
              <w:t xml:space="preserve"> y dice que el Anexo 1 contiene el siguiente texto para su inclusión en las Actas de la Sesión Plenaria:</w:t>
            </w:r>
          </w:p>
          <w:p w14:paraId="484294E2" w14:textId="20EBA0FA" w:rsidR="00813F9B" w:rsidRPr="00813F9B" w:rsidRDefault="00813F9B" w:rsidP="00251EE1">
            <w:pPr>
              <w:spacing w:before="40" w:after="40"/>
              <w:ind w:left="794" w:hanging="794"/>
              <w:rPr>
                <w:sz w:val="22"/>
                <w:lang w:val="es-ES"/>
              </w:rPr>
            </w:pPr>
            <w:r w:rsidRPr="00813F9B">
              <w:rPr>
                <w:sz w:val="22"/>
                <w:lang w:val="es-ES"/>
              </w:rPr>
              <w:tab/>
              <w:t xml:space="preserve">«Con respecto a las asignaciones de frecuencia sujetas al </w:t>
            </w:r>
            <w:r w:rsidRPr="00813F9B">
              <w:rPr>
                <w:b/>
                <w:bCs/>
                <w:sz w:val="22"/>
                <w:lang w:val="es-ES"/>
              </w:rPr>
              <w:t>RR S5.488/S5.491</w:t>
            </w:r>
            <w:r w:rsidRPr="00813F9B">
              <w:rPr>
                <w:sz w:val="22"/>
                <w:lang w:val="es-ES"/>
              </w:rPr>
              <w:t xml:space="preserve"> (edición del RR de 1998 o anterior) donde el territorio de la administración notificante no se encontraba en la zona de servicio de un haz en la región de la atribución bajo estas disposiciones, la Oficina publicó una nota en la Sección Especial pertinente, solicitando a la administración responsable que proporcionase evidencia del acuerdo dado por una administración en la región de la atribución. La nota indicaba que este acuerdo debía concluirse en el plazo de tres </w:t>
            </w:r>
            <w:r w:rsidRPr="00813F9B">
              <w:rPr>
                <w:sz w:val="22"/>
                <w:lang w:val="es-ES"/>
              </w:rPr>
              <w:lastRenderedPageBreak/>
              <w:t xml:space="preserve">meses de la publicación de la Sección Especial de Coordinación. Si no se obtenía al finalizar dicho periodo de tres meses, la Oficina cambiaría su conclusión con respecto al </w:t>
            </w:r>
            <w:r w:rsidRPr="00813F9B">
              <w:rPr>
                <w:b/>
                <w:bCs/>
                <w:sz w:val="22"/>
                <w:lang w:val="es-ES"/>
              </w:rPr>
              <w:t>RR11.31</w:t>
            </w:r>
            <w:r w:rsidRPr="00813F9B">
              <w:rPr>
                <w:sz w:val="22"/>
                <w:lang w:val="es-ES"/>
              </w:rPr>
              <w:t xml:space="preserve"> en la coordinación a una conclusión desfavorable y las asignaciones de frecuencias previstas de la red en las bandas pertinentes ya no serían tenidas en cuenta. La CMR</w:t>
            </w:r>
            <w:r w:rsidRPr="00813F9B">
              <w:rPr>
                <w:sz w:val="22"/>
                <w:lang w:val="es-ES"/>
              </w:rPr>
              <w:noBreakHyphen/>
              <w:t>2000 suprimió la limitación a la utilización nacional o subregional de los números </w:t>
            </w:r>
            <w:r w:rsidRPr="00813F9B">
              <w:rPr>
                <w:b/>
                <w:bCs/>
                <w:sz w:val="22"/>
                <w:lang w:val="es-ES"/>
              </w:rPr>
              <w:t>5.488</w:t>
            </w:r>
            <w:r w:rsidRPr="00813F9B">
              <w:rPr>
                <w:sz w:val="22"/>
                <w:lang w:val="es-ES"/>
              </w:rPr>
              <w:t> y </w:t>
            </w:r>
            <w:r w:rsidRPr="00813F9B">
              <w:rPr>
                <w:b/>
                <w:bCs/>
                <w:sz w:val="22"/>
                <w:lang w:val="es-ES"/>
              </w:rPr>
              <w:t>5.491</w:t>
            </w:r>
            <w:r w:rsidRPr="00813F9B">
              <w:rPr>
                <w:sz w:val="22"/>
                <w:lang w:val="es-ES"/>
              </w:rPr>
              <w:t xml:space="preserve"> pero no dispuso que este cambio fuese aplicable de forma retroactiva a los casos recibidos antes del 3 de junio de 2000.</w:t>
            </w:r>
          </w:p>
        </w:tc>
        <w:tc>
          <w:tcPr>
            <w:tcW w:w="1548" w:type="pct"/>
            <w:tcBorders>
              <w:bottom w:val="nil"/>
            </w:tcBorders>
          </w:tcPr>
          <w:p w14:paraId="3CDD1BB1" w14:textId="40A48472" w:rsidR="00813F9B" w:rsidRPr="00266695" w:rsidRDefault="00813F9B" w:rsidP="00B53355">
            <w:pPr>
              <w:pStyle w:val="Tabletext"/>
              <w:rPr>
                <w:lang w:val="es-ES"/>
              </w:rPr>
            </w:pPr>
          </w:p>
        </w:tc>
      </w:tr>
      <w:tr w:rsidR="00251EE1" w:rsidRPr="00D2027A" w14:paraId="1213231B" w14:textId="77777777" w:rsidTr="00251EE1">
        <w:tblPrEx>
          <w:tblLook w:val="04A0" w:firstRow="1" w:lastRow="0" w:firstColumn="1" w:lastColumn="0" w:noHBand="0" w:noVBand="1"/>
        </w:tblPrEx>
        <w:trPr>
          <w:jc w:val="center"/>
        </w:trPr>
        <w:tc>
          <w:tcPr>
            <w:tcW w:w="183" w:type="pct"/>
            <w:tcBorders>
              <w:top w:val="nil"/>
            </w:tcBorders>
          </w:tcPr>
          <w:p w14:paraId="588C8A44" w14:textId="77777777" w:rsidR="00251EE1" w:rsidRPr="00A616CA" w:rsidRDefault="00251EE1" w:rsidP="00B53355">
            <w:pPr>
              <w:pStyle w:val="Tabletext"/>
              <w:rPr>
                <w:lang w:val="es-ES"/>
              </w:rPr>
            </w:pPr>
          </w:p>
        </w:tc>
        <w:tc>
          <w:tcPr>
            <w:tcW w:w="434" w:type="pct"/>
            <w:tcBorders>
              <w:top w:val="nil"/>
            </w:tcBorders>
          </w:tcPr>
          <w:p w14:paraId="22A126A0" w14:textId="77777777" w:rsidR="00251EE1" w:rsidRPr="00A616CA" w:rsidRDefault="00251EE1" w:rsidP="00B53355">
            <w:pPr>
              <w:pStyle w:val="Tabletext"/>
              <w:rPr>
                <w:lang w:val="es-ES"/>
              </w:rPr>
            </w:pPr>
          </w:p>
        </w:tc>
        <w:tc>
          <w:tcPr>
            <w:tcW w:w="523" w:type="pct"/>
            <w:tcBorders>
              <w:top w:val="nil"/>
            </w:tcBorders>
          </w:tcPr>
          <w:p w14:paraId="1B538C63" w14:textId="77777777" w:rsidR="00251EE1" w:rsidRPr="00813F9B" w:rsidRDefault="00251EE1" w:rsidP="00B53355">
            <w:pPr>
              <w:pStyle w:val="Tabletext"/>
              <w:rPr>
                <w:rFonts w:asciiTheme="majorBidi" w:eastAsia="Malgun Gothic" w:hAnsiTheme="majorBidi" w:cstheme="majorBidi"/>
                <w:bCs/>
                <w:lang w:val="es-ES" w:eastAsia="ko-KR"/>
              </w:rPr>
            </w:pPr>
          </w:p>
        </w:tc>
        <w:tc>
          <w:tcPr>
            <w:tcW w:w="2312" w:type="pct"/>
            <w:tcBorders>
              <w:top w:val="nil"/>
            </w:tcBorders>
          </w:tcPr>
          <w:p w14:paraId="7FB604F1" w14:textId="77777777" w:rsidR="00251EE1" w:rsidRPr="00813F9B" w:rsidRDefault="00251EE1" w:rsidP="00251EE1">
            <w:pPr>
              <w:spacing w:before="40" w:after="40"/>
              <w:ind w:left="794" w:hanging="794"/>
              <w:rPr>
                <w:b/>
                <w:sz w:val="22"/>
                <w:lang w:val="es-ES"/>
              </w:rPr>
            </w:pPr>
            <w:r w:rsidRPr="00813F9B">
              <w:rPr>
                <w:sz w:val="22"/>
                <w:lang w:val="es-ES"/>
              </w:rPr>
              <w:tab/>
              <w:t>Dos administraciones recurrieron este plazo señalado por la Oficina a la Junta del Reglamento de Radiocomunicaciones. La Junta apoyó tres veces el método de la Oficina y llegó a la conclusión de que habían aplicado correctamente el Reglamento de Radiocomunicaciones y las Reglas de Procedimiento asociadas en vigor en la fecha de recepción de las presentaciones. Varias administraciones propusieron que esta Conferencia considere la Regla de la Oficina que no estiman de conformidad con el Reglamento de Radiocomunicaciones y las Reglas de Procedimiento asociadas. Otras administraciones opinaron que la Regla refleja el Reglamento de Radiocomunicaciones y las Reglas de Procedimiento asociadas puesto que existían antes de la fecha de entrada en vigor de las disposiciones modificadas por la CMR</w:t>
            </w:r>
            <w:r w:rsidRPr="00813F9B">
              <w:rPr>
                <w:sz w:val="22"/>
                <w:lang w:val="es-ES"/>
              </w:rPr>
              <w:noBreakHyphen/>
              <w:t>2000. (Véanse los documentos de la Conferencia </w:t>
            </w:r>
            <w:hyperlink r:id="rId44" w:history="1">
              <w:r w:rsidRPr="00813F9B">
                <w:rPr>
                  <w:rStyle w:val="Hyperlink"/>
                  <w:sz w:val="22"/>
                  <w:lang w:val="es-ES"/>
                </w:rPr>
                <w:t>12(Add.8)</w:t>
              </w:r>
            </w:hyperlink>
            <w:r w:rsidRPr="00813F9B">
              <w:rPr>
                <w:sz w:val="22"/>
                <w:lang w:val="es-ES"/>
              </w:rPr>
              <w:t xml:space="preserve">, </w:t>
            </w:r>
            <w:hyperlink r:id="rId45" w:history="1">
              <w:r w:rsidRPr="00813F9B">
                <w:rPr>
                  <w:rStyle w:val="Hyperlink"/>
                  <w:sz w:val="22"/>
                  <w:lang w:val="es-ES"/>
                </w:rPr>
                <w:t>43(Add.3)</w:t>
              </w:r>
            </w:hyperlink>
            <w:r w:rsidRPr="00813F9B">
              <w:rPr>
                <w:sz w:val="22"/>
                <w:lang w:val="es-ES"/>
              </w:rPr>
              <w:t xml:space="preserve">, </w:t>
            </w:r>
            <w:hyperlink r:id="rId46" w:history="1">
              <w:r w:rsidRPr="00813F9B">
                <w:rPr>
                  <w:rStyle w:val="Hyperlink"/>
                  <w:sz w:val="22"/>
                  <w:lang w:val="es-ES"/>
                </w:rPr>
                <w:t>123</w:t>
              </w:r>
            </w:hyperlink>
            <w:r w:rsidRPr="00813F9B">
              <w:rPr>
                <w:sz w:val="22"/>
                <w:lang w:val="es-ES"/>
              </w:rPr>
              <w:t xml:space="preserve">, </w:t>
            </w:r>
            <w:hyperlink r:id="rId47" w:history="1">
              <w:r w:rsidRPr="00813F9B">
                <w:rPr>
                  <w:rStyle w:val="Hyperlink"/>
                  <w:sz w:val="22"/>
                  <w:lang w:val="es-ES"/>
                </w:rPr>
                <w:t>124</w:t>
              </w:r>
            </w:hyperlink>
            <w:r w:rsidRPr="00813F9B">
              <w:rPr>
                <w:sz w:val="22"/>
                <w:lang w:val="es-ES"/>
              </w:rPr>
              <w:t xml:space="preserve"> y </w:t>
            </w:r>
            <w:hyperlink r:id="rId48" w:history="1">
              <w:r w:rsidRPr="00813F9B">
                <w:rPr>
                  <w:rStyle w:val="Hyperlink"/>
                  <w:sz w:val="22"/>
                  <w:lang w:val="es-ES"/>
                </w:rPr>
                <w:t>221</w:t>
              </w:r>
            </w:hyperlink>
            <w:r w:rsidRPr="00813F9B">
              <w:rPr>
                <w:sz w:val="22"/>
                <w:lang w:val="es-ES"/>
              </w:rPr>
              <w:t>). Al no tomar una decisión sobre la pertinencia de la Regla de la Oficina, esta Conferencia decidió considerar el asunto encargando a la Oficina que trate las notificaciones de las redes OSG implicadas, con respecto a los aspectos regionales/subregionales de las dos disposiciones mencionadas, en la forma descrita en el Anexo 2 al presente documento».</w:t>
            </w:r>
          </w:p>
          <w:p w14:paraId="04E88CE3" w14:textId="77777777" w:rsidR="00251EE1" w:rsidRPr="00813F9B" w:rsidRDefault="00251EE1" w:rsidP="00251EE1">
            <w:pPr>
              <w:spacing w:before="40" w:after="40"/>
              <w:rPr>
                <w:sz w:val="22"/>
                <w:lang w:val="es-ES"/>
              </w:rPr>
            </w:pPr>
            <w:r w:rsidRPr="00813F9B">
              <w:rPr>
                <w:sz w:val="22"/>
                <w:lang w:val="es-ES"/>
              </w:rPr>
              <w:lastRenderedPageBreak/>
              <w:t>8.2</w:t>
            </w:r>
            <w:r w:rsidRPr="00813F9B">
              <w:rPr>
                <w:sz w:val="22"/>
                <w:lang w:val="es-ES"/>
              </w:rPr>
              <w:tab/>
              <w:t>El Anexo 2 contiene una descripción de los elementos que intervienen en el tratamiento de las redes de satélite con respecto al aspecto nacional/regional de los números </w:t>
            </w:r>
            <w:r w:rsidRPr="00813F9B">
              <w:rPr>
                <w:b/>
                <w:bCs/>
                <w:sz w:val="22"/>
                <w:lang w:val="es-ES"/>
              </w:rPr>
              <w:t>5.488</w:t>
            </w:r>
            <w:r w:rsidRPr="00813F9B">
              <w:rPr>
                <w:sz w:val="22"/>
                <w:lang w:val="es-ES"/>
              </w:rPr>
              <w:t> y </w:t>
            </w:r>
            <w:r w:rsidRPr="00813F9B">
              <w:rPr>
                <w:b/>
                <w:bCs/>
                <w:sz w:val="22"/>
                <w:lang w:val="es-ES"/>
              </w:rPr>
              <w:t>5.491</w:t>
            </w:r>
            <w:r w:rsidRPr="00813F9B">
              <w:rPr>
                <w:sz w:val="22"/>
                <w:lang w:val="es-ES"/>
              </w:rPr>
              <w:t xml:space="preserve"> del Reglamento de Radiocomunicaciones. Recuerda que en las deliberaciones anteriores ha habido desacuerdo sobre las dos notas del Anexo 2 y se complace en comunicar que, puesto que el </w:t>
            </w:r>
            <w:hyperlink r:id="rId49" w:history="1">
              <w:r w:rsidRPr="00813F9B">
                <w:rPr>
                  <w:rStyle w:val="Hyperlink"/>
                  <w:sz w:val="22"/>
                  <w:lang w:val="es-ES"/>
                </w:rPr>
                <w:t>Documento 384</w:t>
              </w:r>
            </w:hyperlink>
            <w:r w:rsidRPr="00813F9B">
              <w:rPr>
                <w:sz w:val="22"/>
                <w:lang w:val="es-ES"/>
              </w:rPr>
              <w:t xml:space="preserve"> se ha publicado, se alcanzó un compromiso sobre esas dos notas: hay que suprimir ambas notas y reemplazarlas mediante la siguiente: «Hubo opiniones divergentes sobre si se debe aplicar la misma fecha de tratamiento a N</w:t>
            </w:r>
            <w:r w:rsidRPr="00813F9B">
              <w:rPr>
                <w:sz w:val="22"/>
                <w:lang w:val="es-ES"/>
              </w:rPr>
              <w:noBreakHyphen/>
              <w:t>SAT</w:t>
            </w:r>
            <w:r w:rsidRPr="00813F9B">
              <w:rPr>
                <w:sz w:val="22"/>
                <w:lang w:val="es-ES"/>
              </w:rPr>
              <w:noBreakHyphen/>
              <w:t>127 W y NSS</w:t>
            </w:r>
            <w:r w:rsidRPr="00813F9B">
              <w:rPr>
                <w:sz w:val="22"/>
                <w:lang w:val="es-ES"/>
              </w:rPr>
              <w:noBreakHyphen/>
              <w:t>7».</w:t>
            </w:r>
          </w:p>
          <w:p w14:paraId="68719357" w14:textId="77777777" w:rsidR="00251EE1" w:rsidRPr="00813F9B" w:rsidRDefault="00251EE1" w:rsidP="00251EE1">
            <w:pPr>
              <w:spacing w:before="40" w:after="40"/>
              <w:rPr>
                <w:sz w:val="22"/>
                <w:lang w:val="es-ES"/>
              </w:rPr>
            </w:pPr>
            <w:r w:rsidRPr="00813F9B">
              <w:rPr>
                <w:sz w:val="22"/>
                <w:lang w:val="es-ES"/>
              </w:rPr>
              <w:t>8.3</w:t>
            </w:r>
            <w:r w:rsidRPr="00813F9B">
              <w:rPr>
                <w:sz w:val="22"/>
                <w:lang w:val="es-ES"/>
              </w:rPr>
              <w:tab/>
              <w:t xml:space="preserve">La </w:t>
            </w:r>
            <w:r w:rsidRPr="00813F9B">
              <w:rPr>
                <w:b/>
                <w:bCs/>
                <w:sz w:val="22"/>
                <w:lang w:val="es-ES"/>
              </w:rPr>
              <w:t>Presidenta</w:t>
            </w:r>
            <w:r w:rsidRPr="00813F9B">
              <w:rPr>
                <w:sz w:val="22"/>
                <w:lang w:val="es-ES"/>
              </w:rPr>
              <w:t xml:space="preserve"> dice que, si no hay objeciones, entiende que la decisión de la Conferencia reflejada en el texto que aparece en § 8.1 </w:t>
            </w:r>
            <w:r w:rsidRPr="00513FD7">
              <w:rPr>
                <w:i/>
                <w:iCs/>
                <w:sz w:val="22"/>
                <w:lang w:val="es-ES"/>
              </w:rPr>
              <w:t>supra</w:t>
            </w:r>
            <w:r w:rsidRPr="00813F9B">
              <w:rPr>
                <w:sz w:val="22"/>
                <w:lang w:val="es-ES"/>
              </w:rPr>
              <w:t xml:space="preserve"> es aceptable para la reunión, que las dos nuevas notas propuestas también son aceptables, y que el texto del Anexo 2, con las enmiendas, se podría anexar a las Actas de la reunión como se propone (véase el Anexo A).</w:t>
            </w:r>
          </w:p>
          <w:p w14:paraId="6F3D77A5" w14:textId="682E5741" w:rsidR="00251EE1" w:rsidRPr="00251EE1" w:rsidRDefault="00251EE1" w:rsidP="00251EE1">
            <w:pPr>
              <w:spacing w:before="40" w:after="40"/>
              <w:rPr>
                <w:sz w:val="22"/>
                <w:lang w:val="es-ES"/>
              </w:rPr>
            </w:pPr>
            <w:r w:rsidRPr="00251EE1">
              <w:rPr>
                <w:sz w:val="22"/>
                <w:lang w:val="es-ES"/>
              </w:rPr>
              <w:t>8.4</w:t>
            </w:r>
            <w:r w:rsidRPr="00251EE1">
              <w:rPr>
                <w:sz w:val="22"/>
                <w:lang w:val="es-ES"/>
              </w:rPr>
              <w:tab/>
              <w:t xml:space="preserve">Así se </w:t>
            </w:r>
            <w:r w:rsidRPr="00251EE1">
              <w:rPr>
                <w:b/>
                <w:bCs/>
                <w:sz w:val="22"/>
                <w:lang w:val="es-ES"/>
              </w:rPr>
              <w:t>decide</w:t>
            </w:r>
            <w:r w:rsidRPr="00251EE1">
              <w:rPr>
                <w:sz w:val="22"/>
                <w:lang w:val="es-ES"/>
              </w:rPr>
              <w:t>.</w:t>
            </w:r>
          </w:p>
        </w:tc>
        <w:tc>
          <w:tcPr>
            <w:tcW w:w="1548" w:type="pct"/>
            <w:tcBorders>
              <w:top w:val="nil"/>
            </w:tcBorders>
          </w:tcPr>
          <w:p w14:paraId="2423F24C" w14:textId="77777777" w:rsidR="00251EE1" w:rsidRPr="00266695" w:rsidRDefault="00251EE1" w:rsidP="00B53355">
            <w:pPr>
              <w:pStyle w:val="Tabletext"/>
              <w:rPr>
                <w:lang w:val="es-ES"/>
              </w:rPr>
            </w:pPr>
          </w:p>
        </w:tc>
      </w:tr>
      <w:tr w:rsidR="00967792" w:rsidRPr="00D2027A" w14:paraId="0F04E348" w14:textId="77777777" w:rsidTr="00924C8B">
        <w:tblPrEx>
          <w:tblLook w:val="04A0" w:firstRow="1" w:lastRow="0" w:firstColumn="1" w:lastColumn="0" w:noHBand="0" w:noVBand="1"/>
        </w:tblPrEx>
        <w:trPr>
          <w:jc w:val="center"/>
        </w:trPr>
        <w:tc>
          <w:tcPr>
            <w:tcW w:w="183" w:type="pct"/>
          </w:tcPr>
          <w:p w14:paraId="61B466A0" w14:textId="77777777" w:rsidR="00967792" w:rsidRPr="00A616CA" w:rsidRDefault="00967792" w:rsidP="00B53355">
            <w:pPr>
              <w:pStyle w:val="Tabletext"/>
              <w:rPr>
                <w:lang w:val="es-ES"/>
              </w:rPr>
            </w:pPr>
          </w:p>
        </w:tc>
        <w:tc>
          <w:tcPr>
            <w:tcW w:w="434" w:type="pct"/>
          </w:tcPr>
          <w:p w14:paraId="60D1E290" w14:textId="77777777" w:rsidR="00967792" w:rsidRPr="00A616CA" w:rsidRDefault="00967792" w:rsidP="00B53355">
            <w:pPr>
              <w:pStyle w:val="Tabletext"/>
              <w:rPr>
                <w:lang w:val="es-ES"/>
              </w:rPr>
            </w:pPr>
          </w:p>
        </w:tc>
        <w:tc>
          <w:tcPr>
            <w:tcW w:w="523" w:type="pct"/>
          </w:tcPr>
          <w:p w14:paraId="6EED915D" w14:textId="77777777" w:rsidR="00967792" w:rsidRPr="00A616CA" w:rsidRDefault="00967792" w:rsidP="00B53355">
            <w:pPr>
              <w:pStyle w:val="Tabletext"/>
              <w:rPr>
                <w:lang w:val="es-ES"/>
              </w:rPr>
            </w:pPr>
          </w:p>
        </w:tc>
        <w:tc>
          <w:tcPr>
            <w:tcW w:w="2312" w:type="pct"/>
          </w:tcPr>
          <w:p w14:paraId="2AEEA1EF" w14:textId="77777777" w:rsidR="00967792" w:rsidRPr="00513FD7" w:rsidRDefault="00967792" w:rsidP="00924C8B">
            <w:pPr>
              <w:pStyle w:val="AnnexNo"/>
              <w:spacing w:before="80" w:after="40"/>
              <w:rPr>
                <w:sz w:val="22"/>
                <w:szCs w:val="18"/>
                <w:lang w:val="es-ES"/>
              </w:rPr>
            </w:pPr>
            <w:r w:rsidRPr="00513FD7">
              <w:rPr>
                <w:sz w:val="22"/>
                <w:szCs w:val="18"/>
                <w:lang w:val="es-ES"/>
              </w:rPr>
              <w:t>ANEXO A</w:t>
            </w:r>
          </w:p>
          <w:p w14:paraId="1FC71F20" w14:textId="77777777" w:rsidR="00967792" w:rsidRPr="00513FD7" w:rsidRDefault="00967792" w:rsidP="00B53355">
            <w:pPr>
              <w:pStyle w:val="Annextitle"/>
              <w:spacing w:before="40" w:after="40"/>
              <w:rPr>
                <w:sz w:val="22"/>
                <w:szCs w:val="18"/>
                <w:lang w:val="es-ES"/>
              </w:rPr>
            </w:pPr>
            <w:r w:rsidRPr="00513FD7">
              <w:rPr>
                <w:sz w:val="22"/>
                <w:szCs w:val="18"/>
                <w:lang w:val="es-ES"/>
              </w:rPr>
              <w:t>Descripción de los elementos implicados</w:t>
            </w:r>
          </w:p>
          <w:p w14:paraId="3501C52C" w14:textId="77777777" w:rsidR="00967792" w:rsidRPr="00513FD7" w:rsidRDefault="00967792" w:rsidP="00924C8B">
            <w:pPr>
              <w:spacing w:before="80" w:after="40"/>
              <w:rPr>
                <w:sz w:val="22"/>
                <w:szCs w:val="18"/>
                <w:lang w:val="es-ES"/>
              </w:rPr>
            </w:pPr>
            <w:r w:rsidRPr="00513FD7">
              <w:rPr>
                <w:sz w:val="22"/>
                <w:szCs w:val="18"/>
                <w:lang w:val="es-ES"/>
              </w:rPr>
              <w:t>1</w:t>
            </w:r>
            <w:r w:rsidRPr="00513FD7">
              <w:rPr>
                <w:sz w:val="22"/>
                <w:szCs w:val="18"/>
                <w:lang w:val="es-ES"/>
              </w:rPr>
              <w:tab/>
              <w:t xml:space="preserve">Los siguientes elementos consideran todas las asignaciones de frecuencias en la banda 11,7-12,2 GHz en la Región 2 y en la banda 12,2-12,5 GHz en la Región 3 para redes de satélites OSG del servicio fijo por satélite cuya información de coordinación fue publicada en una Sección Especial de la IFIC con el plazo de tres meses (una regla de la Oficina) para lograr los acuerdos necesarios a fin de establecer un sistema subregional con arreglo a los números </w:t>
            </w:r>
            <w:r w:rsidRPr="00513FD7">
              <w:rPr>
                <w:b/>
                <w:bCs/>
                <w:sz w:val="22"/>
                <w:szCs w:val="18"/>
                <w:lang w:val="es-ES"/>
              </w:rPr>
              <w:t>S5.488</w:t>
            </w:r>
            <w:r w:rsidRPr="00513FD7">
              <w:rPr>
                <w:sz w:val="22"/>
                <w:szCs w:val="18"/>
                <w:lang w:val="es-ES"/>
              </w:rPr>
              <w:t>/</w:t>
            </w:r>
            <w:r w:rsidRPr="00513FD7">
              <w:rPr>
                <w:b/>
                <w:bCs/>
                <w:sz w:val="22"/>
                <w:szCs w:val="18"/>
                <w:lang w:val="es-ES"/>
              </w:rPr>
              <w:t>S5.491</w:t>
            </w:r>
            <w:r w:rsidRPr="00513FD7">
              <w:rPr>
                <w:sz w:val="22"/>
                <w:szCs w:val="18"/>
                <w:lang w:val="es-ES"/>
              </w:rPr>
              <w:t xml:space="preserve"> (edición del RR de 1998 o anterior) y no cumplieron el plazo.</w:t>
            </w:r>
          </w:p>
          <w:p w14:paraId="1FF60BD1" w14:textId="77777777" w:rsidR="00967792" w:rsidRPr="00513FD7" w:rsidRDefault="00967792" w:rsidP="00B53355">
            <w:pPr>
              <w:pStyle w:val="enumlev1"/>
              <w:spacing w:before="40" w:after="40"/>
              <w:rPr>
                <w:sz w:val="22"/>
                <w:szCs w:val="18"/>
                <w:lang w:val="es-ES"/>
              </w:rPr>
            </w:pPr>
            <w:r w:rsidRPr="00513FD7">
              <w:rPr>
                <w:sz w:val="22"/>
                <w:szCs w:val="18"/>
                <w:lang w:val="es-ES"/>
              </w:rPr>
              <w:t>a)</w:t>
            </w:r>
            <w:r w:rsidRPr="00513FD7">
              <w:rPr>
                <w:sz w:val="22"/>
                <w:szCs w:val="18"/>
                <w:lang w:val="es-ES"/>
              </w:rPr>
              <w:tab/>
              <w:t>Para las asignaciones de frecuencias sobre las que la Oficina publicó una conclusión desfavorable en una Sección Especial consiguiente antes del 9 de junio de 2003, se mantiene la conclusión desfavorable.</w:t>
            </w:r>
          </w:p>
          <w:p w14:paraId="3D301ACE" w14:textId="77777777" w:rsidR="00967792" w:rsidRPr="00513FD7" w:rsidRDefault="00967792" w:rsidP="00B53355">
            <w:pPr>
              <w:pStyle w:val="enumlev1"/>
              <w:spacing w:before="40" w:after="40"/>
              <w:rPr>
                <w:sz w:val="22"/>
                <w:szCs w:val="18"/>
                <w:lang w:val="es-ES"/>
              </w:rPr>
            </w:pPr>
            <w:r w:rsidRPr="00513FD7">
              <w:rPr>
                <w:sz w:val="22"/>
                <w:szCs w:val="18"/>
                <w:lang w:val="es-ES"/>
              </w:rPr>
              <w:t>b)</w:t>
            </w:r>
            <w:r w:rsidRPr="00513FD7">
              <w:rPr>
                <w:sz w:val="22"/>
                <w:szCs w:val="18"/>
                <w:lang w:val="es-ES"/>
              </w:rPr>
              <w:tab/>
              <w:t xml:space="preserve">Para las asignaciones de frecuencias sobre las que la Oficina recibió la información de coordinación completa en fecha </w:t>
            </w:r>
            <w:r w:rsidRPr="00513FD7">
              <w:rPr>
                <w:sz w:val="22"/>
                <w:szCs w:val="18"/>
                <w:lang w:val="es-ES"/>
              </w:rPr>
              <w:lastRenderedPageBreak/>
              <w:t xml:space="preserve">comprendida entre el 1 de mayo de 1998 y el 2 de junio de 2000 y no publicó una conclusión desfavorable en la consiguiente Sección Especial de la IFIC, la Oficina aplicará las disposiciones de los números </w:t>
            </w:r>
            <w:r w:rsidRPr="00513FD7">
              <w:rPr>
                <w:b/>
                <w:bCs/>
                <w:sz w:val="22"/>
                <w:szCs w:val="18"/>
                <w:lang w:val="es-ES"/>
              </w:rPr>
              <w:t>5.488</w:t>
            </w:r>
            <w:r w:rsidRPr="00513FD7">
              <w:rPr>
                <w:sz w:val="22"/>
                <w:szCs w:val="18"/>
                <w:lang w:val="es-ES"/>
              </w:rPr>
              <w:t xml:space="preserve"> y </w:t>
            </w:r>
            <w:r w:rsidRPr="00513FD7">
              <w:rPr>
                <w:b/>
                <w:bCs/>
                <w:sz w:val="22"/>
                <w:szCs w:val="18"/>
                <w:lang w:val="es-ES"/>
              </w:rPr>
              <w:t>5.491</w:t>
            </w:r>
            <w:r w:rsidRPr="00513FD7">
              <w:rPr>
                <w:sz w:val="22"/>
                <w:szCs w:val="18"/>
                <w:lang w:val="es-ES"/>
              </w:rPr>
              <w:t xml:space="preserve"> (edición del RR de 2001). Como resultado, estas asignaciones son tenidas en cuenta para las asignaciones inscritas posteriormente manteniendo su fecha de prioridad.</w:t>
            </w:r>
          </w:p>
          <w:p w14:paraId="79812E6B" w14:textId="77777777" w:rsidR="00967792" w:rsidRPr="00513FD7" w:rsidRDefault="00967792" w:rsidP="00B53355">
            <w:pPr>
              <w:pStyle w:val="enumlev1"/>
              <w:spacing w:before="40" w:after="40"/>
              <w:rPr>
                <w:sz w:val="22"/>
                <w:szCs w:val="18"/>
                <w:lang w:val="es-ES"/>
              </w:rPr>
            </w:pPr>
            <w:r w:rsidRPr="00513FD7">
              <w:rPr>
                <w:sz w:val="22"/>
                <w:szCs w:val="18"/>
                <w:lang w:val="es-ES"/>
              </w:rPr>
              <w:t>c)</w:t>
            </w:r>
            <w:r w:rsidRPr="00513FD7">
              <w:rPr>
                <w:sz w:val="22"/>
                <w:szCs w:val="18"/>
                <w:lang w:val="es-ES"/>
              </w:rPr>
              <w:tab/>
              <w:t>Para las asignaciones de frecuencias sobre las cuales la información de coordinación completa se recibió antes del 1 de mayo de 1998 y la Oficina no publicó una conclusión desfavorable en una Sección Especial de la IFIC, la Oficina mantendrá una conclusión favorable con referencia a los aspectos nacionales/subregionales de los números S5.488 y S5.491.</w:t>
            </w:r>
          </w:p>
          <w:p w14:paraId="6BDEBA0D" w14:textId="77777777" w:rsidR="00967792" w:rsidRPr="00513FD7" w:rsidRDefault="00967792" w:rsidP="00B53355">
            <w:pPr>
              <w:pStyle w:val="enumlev2"/>
              <w:spacing w:before="40" w:after="40"/>
              <w:rPr>
                <w:sz w:val="22"/>
                <w:szCs w:val="18"/>
                <w:lang w:val="es-ES"/>
              </w:rPr>
            </w:pPr>
            <w:r w:rsidRPr="00513FD7">
              <w:rPr>
                <w:sz w:val="22"/>
                <w:szCs w:val="18"/>
                <w:lang w:val="es-ES"/>
              </w:rPr>
              <w:t>i)</w:t>
            </w:r>
            <w:r w:rsidRPr="00513FD7">
              <w:rPr>
                <w:sz w:val="22"/>
                <w:szCs w:val="18"/>
                <w:lang w:val="es-ES"/>
              </w:rPr>
              <w:tab/>
              <w:t>Se considera que estas asignaciones han recibido efectivamente su información de coordinación en la misma fecha</w:t>
            </w:r>
            <w:r w:rsidRPr="00513FD7">
              <w:rPr>
                <w:rStyle w:val="FootnoteReference"/>
                <w:sz w:val="16"/>
                <w:szCs w:val="12"/>
                <w:lang w:val="es-ES"/>
              </w:rPr>
              <w:footnoteReference w:customMarkFollows="1" w:id="1"/>
              <w:t>1</w:t>
            </w:r>
            <w:r w:rsidRPr="00513FD7">
              <w:rPr>
                <w:sz w:val="22"/>
                <w:szCs w:val="18"/>
                <w:lang w:val="es-ES"/>
              </w:rPr>
              <w:t xml:space="preserve"> que cada una de las otras asignaciones inscritas posteriormente para las cuales la información de coordinación fue recibida antes del 5 de julio de 2003, salvo las contempladas en los apartados b) y c).</w:t>
            </w:r>
          </w:p>
          <w:p w14:paraId="5A94763D" w14:textId="77777777" w:rsidR="00967792" w:rsidRPr="00513FD7" w:rsidRDefault="00967792" w:rsidP="00B53355">
            <w:pPr>
              <w:pStyle w:val="enumlev2"/>
              <w:spacing w:before="40" w:after="40"/>
              <w:rPr>
                <w:sz w:val="22"/>
                <w:szCs w:val="18"/>
                <w:lang w:val="es-ES"/>
              </w:rPr>
            </w:pPr>
            <w:r w:rsidRPr="00513FD7">
              <w:rPr>
                <w:sz w:val="22"/>
                <w:szCs w:val="18"/>
                <w:lang w:val="es-ES"/>
              </w:rPr>
              <w:t>ii)</w:t>
            </w:r>
            <w:r w:rsidRPr="00513FD7">
              <w:rPr>
                <w:sz w:val="22"/>
                <w:szCs w:val="18"/>
                <w:lang w:val="es-ES"/>
              </w:rPr>
              <w:tab/>
              <w:t>Estas asignaciones mantienen su fecha de prioridad original únicamente con respecto a las asignaciones mencionadas en el apartado b) anterior, las asignaciones sujetas al apartado c) y aquellas sobre las cuales la información de coordinación completa fue recibida después del 4 de julio de 2003.</w:t>
            </w:r>
          </w:p>
          <w:p w14:paraId="0C88E332" w14:textId="77777777" w:rsidR="00967792" w:rsidRPr="00513FD7" w:rsidRDefault="00967792" w:rsidP="00B53355">
            <w:pPr>
              <w:spacing w:before="40" w:after="40"/>
              <w:rPr>
                <w:sz w:val="22"/>
                <w:szCs w:val="18"/>
                <w:lang w:val="es-ES"/>
              </w:rPr>
            </w:pPr>
            <w:r w:rsidRPr="00513FD7">
              <w:rPr>
                <w:sz w:val="22"/>
                <w:szCs w:val="18"/>
                <w:lang w:val="es-ES"/>
              </w:rPr>
              <w:t>2</w:t>
            </w:r>
            <w:r w:rsidRPr="00513FD7">
              <w:rPr>
                <w:sz w:val="22"/>
                <w:szCs w:val="18"/>
                <w:lang w:val="es-ES"/>
              </w:rPr>
              <w:tab/>
              <w:t>Para todas las asignaciones previamente examinadas con arreglo a los números </w:t>
            </w:r>
            <w:r w:rsidRPr="00513FD7">
              <w:rPr>
                <w:b/>
                <w:bCs/>
                <w:sz w:val="22"/>
                <w:szCs w:val="18"/>
                <w:lang w:val="es-ES"/>
              </w:rPr>
              <w:t>S5.488</w:t>
            </w:r>
            <w:r w:rsidRPr="00513FD7">
              <w:rPr>
                <w:sz w:val="22"/>
                <w:szCs w:val="18"/>
                <w:lang w:val="es-ES"/>
              </w:rPr>
              <w:t>/</w:t>
            </w:r>
            <w:r w:rsidRPr="00513FD7">
              <w:rPr>
                <w:b/>
                <w:bCs/>
                <w:sz w:val="22"/>
                <w:szCs w:val="18"/>
                <w:lang w:val="es-ES"/>
              </w:rPr>
              <w:t>S5.491</w:t>
            </w:r>
            <w:r w:rsidRPr="00513FD7">
              <w:rPr>
                <w:sz w:val="22"/>
                <w:szCs w:val="18"/>
                <w:lang w:val="es-ES"/>
              </w:rPr>
              <w:t xml:space="preserve"> (edición del RR de 1998 o anterior) y sobre las cuales la Oficina no publicó una conclusión desfavorable en una Sección Especial de la IFIC, ya sea porque había un plazo de tres meses para establecer los acuerdos en la etapa de </w:t>
            </w:r>
            <w:r w:rsidRPr="00513FD7">
              <w:rPr>
                <w:sz w:val="22"/>
                <w:szCs w:val="18"/>
                <w:lang w:val="es-ES"/>
              </w:rPr>
              <w:lastRenderedPageBreak/>
              <w:t>coordinación o porque existía el requisito de establecer los acuerdos únicamente en la etapa de notificación, esta Conferencia ha decidido que no son necesarios tales acuerdos.</w:t>
            </w:r>
          </w:p>
          <w:p w14:paraId="11579B25" w14:textId="040BBDD8" w:rsidR="00967792" w:rsidRPr="00513FD7" w:rsidRDefault="00967792" w:rsidP="00B53355">
            <w:pPr>
              <w:spacing w:before="40" w:after="40"/>
              <w:rPr>
                <w:sz w:val="22"/>
                <w:szCs w:val="18"/>
                <w:lang w:val="es-ES"/>
              </w:rPr>
            </w:pPr>
            <w:r w:rsidRPr="00513FD7">
              <w:rPr>
                <w:sz w:val="22"/>
                <w:szCs w:val="18"/>
                <w:lang w:val="es-ES"/>
              </w:rPr>
              <w:t>3</w:t>
            </w:r>
            <w:r w:rsidRPr="00513FD7">
              <w:rPr>
                <w:sz w:val="22"/>
                <w:szCs w:val="18"/>
                <w:lang w:val="es-ES"/>
              </w:rPr>
              <w:tab/>
              <w:t>Tan pronto como sea posible después de esta Conferencia, la Oficina publicará una lista de las redes antes mencionadas con asignaciones de frecuencias en las bandas pertinentes y con las zonas de servicio que se extiendan más allá del territorio nacional de la administración responsable, junto con explicaciones sobre la decisión tomada por la Conferencia y sobre su estado de coordinación con respecto a otras redes.</w:t>
            </w:r>
          </w:p>
        </w:tc>
        <w:tc>
          <w:tcPr>
            <w:tcW w:w="1548" w:type="pct"/>
          </w:tcPr>
          <w:p w14:paraId="163F21EB" w14:textId="77777777" w:rsidR="00967792" w:rsidRPr="00266695" w:rsidRDefault="00967792" w:rsidP="00B53355">
            <w:pPr>
              <w:pStyle w:val="Tabletext"/>
              <w:rPr>
                <w:lang w:val="es-ES"/>
              </w:rPr>
            </w:pPr>
          </w:p>
        </w:tc>
      </w:tr>
      <w:tr w:rsidR="00967792" w:rsidRPr="00D2027A" w14:paraId="11901028" w14:textId="77777777" w:rsidTr="00924C8B">
        <w:tblPrEx>
          <w:tblLook w:val="04A0" w:firstRow="1" w:lastRow="0" w:firstColumn="1" w:lastColumn="0" w:noHBand="0" w:noVBand="1"/>
        </w:tblPrEx>
        <w:trPr>
          <w:jc w:val="center"/>
        </w:trPr>
        <w:tc>
          <w:tcPr>
            <w:tcW w:w="183" w:type="pct"/>
          </w:tcPr>
          <w:p w14:paraId="498FE964" w14:textId="77777777" w:rsidR="00967792" w:rsidRPr="00A616CA" w:rsidRDefault="00967792" w:rsidP="00B53355">
            <w:pPr>
              <w:pStyle w:val="Tabletext"/>
              <w:rPr>
                <w:lang w:val="es-ES"/>
              </w:rPr>
            </w:pPr>
            <w:r w:rsidRPr="00A616CA">
              <w:rPr>
                <w:lang w:val="es-ES"/>
              </w:rPr>
              <w:lastRenderedPageBreak/>
              <w:t>15</w:t>
            </w:r>
          </w:p>
        </w:tc>
        <w:tc>
          <w:tcPr>
            <w:tcW w:w="434" w:type="pct"/>
          </w:tcPr>
          <w:p w14:paraId="30F98FEC" w14:textId="77777777" w:rsidR="00967792" w:rsidRPr="00A616CA" w:rsidRDefault="00967792" w:rsidP="00B53355">
            <w:pPr>
              <w:pStyle w:val="Tabletext"/>
              <w:rPr>
                <w:lang w:val="es-ES"/>
              </w:rPr>
            </w:pPr>
            <w:r w:rsidRPr="00A616CA">
              <w:rPr>
                <w:lang w:val="es-ES"/>
              </w:rPr>
              <w:t>CMR-03</w:t>
            </w:r>
          </w:p>
        </w:tc>
        <w:tc>
          <w:tcPr>
            <w:tcW w:w="523" w:type="pct"/>
          </w:tcPr>
          <w:p w14:paraId="07EA945A" w14:textId="74864F8A" w:rsidR="00967792" w:rsidRPr="00513FD7" w:rsidRDefault="00967792" w:rsidP="00B53355">
            <w:pPr>
              <w:pStyle w:val="Tabletext"/>
              <w:rPr>
                <w:rFonts w:asciiTheme="majorBidi" w:eastAsia="Malgun Gothic" w:hAnsiTheme="majorBidi" w:cstheme="majorBidi"/>
                <w:bCs/>
                <w:lang w:val="es-ES" w:eastAsia="ko-KR"/>
              </w:rPr>
            </w:pPr>
            <w:r w:rsidRPr="00513FD7">
              <w:rPr>
                <w:lang w:val="es-ES"/>
              </w:rPr>
              <w:t>13ª</w:t>
            </w:r>
            <w:r w:rsidRPr="00513FD7">
              <w:rPr>
                <w:rFonts w:asciiTheme="majorBidi" w:eastAsia="Malgun Gothic" w:hAnsiTheme="majorBidi" w:cstheme="majorBidi"/>
                <w:bCs/>
                <w:lang w:val="es-ES" w:eastAsia="ko-KR"/>
              </w:rPr>
              <w:t xml:space="preserve"> Plenaria</w:t>
            </w:r>
            <w:r w:rsidR="00513FD7" w:rsidRPr="00513FD7">
              <w:rPr>
                <w:rFonts w:asciiTheme="majorBidi" w:eastAsia="Malgun Gothic" w:hAnsiTheme="majorBidi" w:cstheme="majorBidi"/>
                <w:bCs/>
                <w:lang w:val="es-ES" w:eastAsia="ko-KR"/>
              </w:rPr>
              <w:br/>
            </w:r>
            <w:hyperlink r:id="rId50" w:history="1">
              <w:r w:rsidRPr="00513FD7">
                <w:rPr>
                  <w:rStyle w:val="Hyperlink"/>
                  <w:rFonts w:asciiTheme="majorBidi" w:eastAsia="Malgun Gothic" w:hAnsiTheme="majorBidi" w:cstheme="majorBidi"/>
                  <w:bCs/>
                  <w:lang w:val="es-ES" w:eastAsia="ko-KR"/>
                </w:rPr>
                <w:t>Doc. 409</w:t>
              </w:r>
            </w:hyperlink>
          </w:p>
        </w:tc>
        <w:tc>
          <w:tcPr>
            <w:tcW w:w="2312" w:type="pct"/>
          </w:tcPr>
          <w:p w14:paraId="4D4A03C1" w14:textId="77777777" w:rsidR="00967792" w:rsidRPr="0086363C" w:rsidRDefault="00967792" w:rsidP="00B53355">
            <w:pPr>
              <w:pStyle w:val="Heading1"/>
              <w:spacing w:before="40" w:after="40"/>
              <w:outlineLvl w:val="0"/>
              <w:rPr>
                <w:b w:val="0"/>
                <w:bCs/>
                <w:sz w:val="22"/>
                <w:lang w:val="es-ES"/>
              </w:rPr>
            </w:pPr>
            <w:r w:rsidRPr="0086363C">
              <w:rPr>
                <w:sz w:val="22"/>
                <w:lang w:val="es-ES"/>
              </w:rPr>
              <w:t>9</w:t>
            </w:r>
            <w:r w:rsidRPr="0086363C">
              <w:rPr>
                <w:sz w:val="22"/>
                <w:lang w:val="es-ES"/>
              </w:rPr>
              <w:tab/>
              <w:t>Solicitudes de prórroga (Documentos 165 y 382)</w:t>
            </w:r>
          </w:p>
          <w:p w14:paraId="2B7EF2C2" w14:textId="59402E20" w:rsidR="00967792" w:rsidRPr="0086363C" w:rsidRDefault="00967792" w:rsidP="00B53355">
            <w:pPr>
              <w:spacing w:before="40" w:after="40"/>
              <w:rPr>
                <w:sz w:val="22"/>
                <w:lang w:val="es-ES"/>
              </w:rPr>
            </w:pPr>
            <w:r w:rsidRPr="0086363C">
              <w:rPr>
                <w:sz w:val="22"/>
                <w:lang w:val="es-ES"/>
              </w:rPr>
              <w:t>9.1</w:t>
            </w:r>
            <w:r w:rsidRPr="0086363C">
              <w:rPr>
                <w:sz w:val="22"/>
                <w:lang w:val="es-ES"/>
              </w:rPr>
              <w:tab/>
              <w:t xml:space="preserve">El </w:t>
            </w:r>
            <w:r w:rsidRPr="0086363C">
              <w:rPr>
                <w:b/>
                <w:bCs/>
                <w:sz w:val="22"/>
                <w:lang w:val="es-ES"/>
              </w:rPr>
              <w:t>Presidente de la Comisión 4</w:t>
            </w:r>
            <w:r w:rsidRPr="0086363C">
              <w:rPr>
                <w:sz w:val="22"/>
                <w:lang w:val="es-ES"/>
              </w:rPr>
              <w:t xml:space="preserve"> dice que el </w:t>
            </w:r>
            <w:hyperlink r:id="rId51" w:history="1">
              <w:r w:rsidRPr="0086363C">
                <w:rPr>
                  <w:rStyle w:val="Hyperlink"/>
                  <w:sz w:val="22"/>
                  <w:lang w:val="es-ES"/>
                </w:rPr>
                <w:t>Documento 165</w:t>
              </w:r>
            </w:hyperlink>
            <w:r w:rsidRPr="0086363C">
              <w:rPr>
                <w:sz w:val="22"/>
                <w:lang w:val="es-ES"/>
              </w:rPr>
              <w:t xml:space="preserve"> contiene una solicitud de los Emiratos Árabes Unidos de prórroga de dos años para sus redes EMARSAT. Se ha manifestado cierta renuencia a aprobar esta prórroga, a pesar de que los Emiratos Árabes Unidos han reducido el número de redes a los que se aplicaría la prórroga. Durante las discusiones oficiosas se alcanzó un compromiso y da lectura al siguiente texto, que espera servirá de ayuda a la reunión para aprobar la solicitud:</w:t>
            </w:r>
          </w:p>
          <w:p w14:paraId="4033C8AE" w14:textId="250B889B" w:rsidR="00967792" w:rsidRPr="0086363C" w:rsidRDefault="00967792" w:rsidP="00B53355">
            <w:pPr>
              <w:spacing w:before="40" w:after="40"/>
              <w:ind w:left="329" w:hanging="329"/>
              <w:rPr>
                <w:sz w:val="22"/>
                <w:lang w:val="es-ES"/>
              </w:rPr>
            </w:pPr>
            <w:r w:rsidRPr="0086363C">
              <w:rPr>
                <w:sz w:val="22"/>
                <w:lang w:val="es-ES"/>
              </w:rPr>
              <w:tab/>
              <w:t xml:space="preserve">«En la Comisión 4 se expresó cierta preocupación con respecto a la solicitud presentada por los Emiratos Árabes Unidos de prorrogar, hasta noviembre de 2004, el periodo de puesta en servicio de ciertas redes con respecto a las asignaciones de frecuencia, como se detalla en el </w:t>
            </w:r>
            <w:hyperlink r:id="rId52" w:history="1">
              <w:r w:rsidR="00513FD7" w:rsidRPr="0086363C">
                <w:rPr>
                  <w:rStyle w:val="Hyperlink"/>
                  <w:sz w:val="22"/>
                  <w:lang w:val="es-ES"/>
                </w:rPr>
                <w:t>Documento 165</w:t>
              </w:r>
            </w:hyperlink>
            <w:r w:rsidRPr="0086363C">
              <w:rPr>
                <w:sz w:val="22"/>
                <w:lang w:val="es-ES"/>
              </w:rPr>
              <w:t>.</w:t>
            </w:r>
          </w:p>
          <w:p w14:paraId="1DA68AA3" w14:textId="60B03119" w:rsidR="00967792" w:rsidRPr="0086363C" w:rsidRDefault="00967792" w:rsidP="00B53355">
            <w:pPr>
              <w:spacing w:before="40" w:after="40"/>
              <w:ind w:left="329" w:hanging="329"/>
              <w:rPr>
                <w:sz w:val="22"/>
                <w:lang w:val="es-ES"/>
              </w:rPr>
            </w:pPr>
            <w:r w:rsidRPr="0086363C">
              <w:rPr>
                <w:sz w:val="22"/>
                <w:lang w:val="es-ES"/>
              </w:rPr>
              <w:tab/>
              <w:t xml:space="preserve">Las Administraciones de Luxemburgo, la República Federal de Alemania, Reino Unido y Países Bajos han discutido con los Emiratos Árabes Unidos los problemas relacionados con la solicitud presentada en el </w:t>
            </w:r>
            <w:hyperlink r:id="rId53" w:history="1">
              <w:r w:rsidR="00513FD7" w:rsidRPr="0086363C">
                <w:rPr>
                  <w:rStyle w:val="Hyperlink"/>
                  <w:sz w:val="22"/>
                  <w:lang w:val="es-ES"/>
                </w:rPr>
                <w:t>Documento 165</w:t>
              </w:r>
            </w:hyperlink>
            <w:r w:rsidRPr="0086363C">
              <w:rPr>
                <w:sz w:val="22"/>
                <w:lang w:val="es-ES"/>
              </w:rPr>
              <w:t>. Estas Administraciones indicaron una preocupación general ante la posibilidad de que una CMR otorgue prórrogas relativas a los plazos indicados en el Reglamento de Radiocomunicaciones.</w:t>
            </w:r>
          </w:p>
          <w:p w14:paraId="19215760" w14:textId="77777777" w:rsidR="00967792" w:rsidRPr="0086363C" w:rsidRDefault="00967792" w:rsidP="00B53355">
            <w:pPr>
              <w:spacing w:before="40" w:after="40"/>
              <w:ind w:left="329" w:hanging="329"/>
              <w:rPr>
                <w:sz w:val="22"/>
                <w:lang w:val="es-ES"/>
              </w:rPr>
            </w:pPr>
            <w:r w:rsidRPr="0086363C">
              <w:rPr>
                <w:sz w:val="22"/>
                <w:lang w:val="es-ES"/>
              </w:rPr>
              <w:tab/>
              <w:t>Los Emiratos Árabes Unidos acordaron restringir su solicitud únicamente a las redes EMARSAT</w:t>
            </w:r>
            <w:r w:rsidRPr="0086363C">
              <w:rPr>
                <w:sz w:val="22"/>
                <w:lang w:val="es-ES"/>
              </w:rPr>
              <w:noBreakHyphen/>
              <w:t>1A y EMARSAT</w:t>
            </w:r>
            <w:r w:rsidRPr="0086363C">
              <w:rPr>
                <w:sz w:val="22"/>
                <w:lang w:val="es-ES"/>
              </w:rPr>
              <w:noBreakHyphen/>
              <w:t>1B.</w:t>
            </w:r>
          </w:p>
          <w:p w14:paraId="2F21AE48" w14:textId="7991E39F" w:rsidR="00967792" w:rsidRPr="0086363C" w:rsidRDefault="00967792" w:rsidP="00B53355">
            <w:pPr>
              <w:spacing w:before="40" w:after="40"/>
              <w:ind w:left="329" w:hanging="329"/>
              <w:rPr>
                <w:sz w:val="22"/>
                <w:lang w:val="es-ES"/>
              </w:rPr>
            </w:pPr>
            <w:r w:rsidRPr="0086363C">
              <w:rPr>
                <w:sz w:val="22"/>
                <w:lang w:val="es-ES"/>
              </w:rPr>
              <w:lastRenderedPageBreak/>
              <w:tab/>
              <w:t xml:space="preserve">Teniendo en cuenta las circunstancias extenuantes de esta solicitud particular, que se recogen en el Informe del Director al que se hace referencia en el </w:t>
            </w:r>
            <w:hyperlink r:id="rId54" w:history="1">
              <w:r w:rsidR="00513FD7" w:rsidRPr="0086363C">
                <w:rPr>
                  <w:rStyle w:val="Hyperlink"/>
                  <w:sz w:val="22"/>
                  <w:lang w:val="es-ES"/>
                </w:rPr>
                <w:t>Documento 165</w:t>
              </w:r>
            </w:hyperlink>
            <w:r w:rsidRPr="0086363C">
              <w:rPr>
                <w:sz w:val="22"/>
                <w:lang w:val="es-ES"/>
              </w:rPr>
              <w:t>, y en base a las discusiones que se han realizado recientemente entre estas cinco Administraciones, así como los acuerdos que se han alcanzado, se concluyó que los problemas relacionados con esta solicitud de prórroga se pueden resolver después de la CMR</w:t>
            </w:r>
            <w:r w:rsidRPr="0086363C">
              <w:rPr>
                <w:sz w:val="22"/>
                <w:lang w:val="es-ES"/>
              </w:rPr>
              <w:noBreakHyphen/>
              <w:t>03.</w:t>
            </w:r>
          </w:p>
          <w:p w14:paraId="3A27C0AC" w14:textId="77777777" w:rsidR="00967792" w:rsidRPr="0086363C" w:rsidRDefault="00967792" w:rsidP="00B53355">
            <w:pPr>
              <w:spacing w:before="40" w:after="40"/>
              <w:ind w:left="329" w:hanging="329"/>
              <w:rPr>
                <w:sz w:val="22"/>
                <w:lang w:val="es-ES"/>
              </w:rPr>
            </w:pPr>
            <w:r w:rsidRPr="0086363C">
              <w:rPr>
                <w:sz w:val="22"/>
                <w:lang w:val="es-ES"/>
              </w:rPr>
              <w:tab/>
              <w:t>Por consiguiente, las Administraciones de Luxemburgo, la República Federal de Alemania, Reino Unido y Países Bajos me han indicado que ya no tienen objeción a la solicitud de prórroga.</w:t>
            </w:r>
          </w:p>
          <w:p w14:paraId="22174906" w14:textId="4C7408B8" w:rsidR="00967792" w:rsidRPr="0086363C" w:rsidRDefault="00967792" w:rsidP="00B53355">
            <w:pPr>
              <w:spacing w:before="40" w:after="40"/>
              <w:ind w:left="329" w:hanging="329"/>
              <w:rPr>
                <w:sz w:val="22"/>
                <w:lang w:val="es-ES"/>
              </w:rPr>
            </w:pPr>
            <w:r w:rsidRPr="0086363C">
              <w:rPr>
                <w:sz w:val="22"/>
                <w:lang w:val="es-ES"/>
              </w:rPr>
              <w:tab/>
              <w:t>Estas Administraciones también han indicado que su decisión en este caso no perjudica su posición en futuras conferencias»</w:t>
            </w:r>
            <w:r w:rsidR="003C64B9" w:rsidRPr="0086363C">
              <w:rPr>
                <w:sz w:val="22"/>
                <w:lang w:val="es-ES"/>
              </w:rPr>
              <w:t>.</w:t>
            </w:r>
          </w:p>
          <w:p w14:paraId="72592A0B" w14:textId="77777777" w:rsidR="00967792" w:rsidRPr="0086363C" w:rsidRDefault="00967792" w:rsidP="00B53355">
            <w:pPr>
              <w:spacing w:before="40" w:after="40"/>
              <w:rPr>
                <w:sz w:val="22"/>
                <w:lang w:val="es-ES"/>
              </w:rPr>
            </w:pPr>
            <w:r w:rsidRPr="0086363C">
              <w:rPr>
                <w:sz w:val="22"/>
                <w:lang w:val="es-ES"/>
              </w:rPr>
              <w:t>9.2</w:t>
            </w:r>
            <w:r w:rsidRPr="0086363C">
              <w:rPr>
                <w:sz w:val="22"/>
                <w:lang w:val="es-ES"/>
              </w:rPr>
              <w:tab/>
              <w:t xml:space="preserve">El </w:t>
            </w:r>
            <w:r w:rsidRPr="0086363C">
              <w:rPr>
                <w:b/>
                <w:bCs/>
                <w:sz w:val="22"/>
                <w:lang w:val="es-ES"/>
              </w:rPr>
              <w:t>delegado de la Federación de Rusia</w:t>
            </w:r>
            <w:r w:rsidRPr="0086363C">
              <w:rPr>
                <w:sz w:val="22"/>
                <w:lang w:val="es-ES"/>
              </w:rPr>
              <w:t xml:space="preserve"> dice que, si se aprueba la solicitud, ello podría alentar a más operadores a solicitar prórrogas en futuras conferencias. Puesto que los Emiratos Árabes Unidos ya han recibido una prórroga de dos años con respecto al plazo original de 9 años, no está dispuesto a aceptar la solicitud. El </w:t>
            </w:r>
            <w:r w:rsidRPr="0086363C">
              <w:rPr>
                <w:b/>
                <w:bCs/>
                <w:sz w:val="22"/>
                <w:lang w:val="es-ES"/>
              </w:rPr>
              <w:t>delegado de Estados Unidos</w:t>
            </w:r>
            <w:r w:rsidRPr="0086363C">
              <w:rPr>
                <w:sz w:val="22"/>
                <w:lang w:val="es-ES"/>
              </w:rPr>
              <w:t xml:space="preserve"> apoya esa opinión y añade que, si se otorga lo pedido, la Conferencia estaría estableciendo un precedente peligroso. En su opinión, no existen circunstancias excepcionales para esa solicitud y sería de lamentar que la Conferencia decidiera otorgar esa prórroga.</w:t>
            </w:r>
          </w:p>
          <w:p w14:paraId="61AED10B" w14:textId="77777777" w:rsidR="00967792" w:rsidRPr="0086363C" w:rsidRDefault="00967792" w:rsidP="00B53355">
            <w:pPr>
              <w:spacing w:before="40" w:after="40"/>
              <w:rPr>
                <w:sz w:val="22"/>
                <w:lang w:val="es-ES"/>
              </w:rPr>
            </w:pPr>
            <w:r w:rsidRPr="0086363C">
              <w:rPr>
                <w:sz w:val="22"/>
                <w:lang w:val="es-ES"/>
              </w:rPr>
              <w:t>9.3</w:t>
            </w:r>
            <w:r w:rsidRPr="0086363C">
              <w:rPr>
                <w:sz w:val="22"/>
                <w:lang w:val="es-ES"/>
              </w:rPr>
              <w:tab/>
              <w:t xml:space="preserve">La </w:t>
            </w:r>
            <w:r w:rsidRPr="0086363C">
              <w:rPr>
                <w:b/>
                <w:bCs/>
                <w:sz w:val="22"/>
                <w:lang w:val="es-ES"/>
              </w:rPr>
              <w:t xml:space="preserve">Presidenta </w:t>
            </w:r>
            <w:r w:rsidRPr="0086363C">
              <w:rPr>
                <w:sz w:val="22"/>
                <w:lang w:val="es-ES"/>
              </w:rPr>
              <w:t>señala que se han hecho esfuerzos para minimizar el impacto de la prórroga en los países afectados, y que esos propios países han aceptado la prórroga. Si bien reconoce que establecer un precedente es un hecho preocupante, dice que la situación es de carácter excepcional, si se tiene en cuenta el desarrollo del sistema y el hecho de que el impacto en los países afectados sería mínimo. Si no hay más oposición, entiende que se podría aprobar la solicitud de los Emiratos Árabes Unidos de una prórroga para sus dos redes satelitales.</w:t>
            </w:r>
          </w:p>
          <w:p w14:paraId="0A968650" w14:textId="77777777" w:rsidR="00967792" w:rsidRPr="0086363C" w:rsidRDefault="00967792" w:rsidP="00B53355">
            <w:pPr>
              <w:spacing w:before="40" w:after="40"/>
              <w:rPr>
                <w:sz w:val="22"/>
                <w:lang w:val="es-ES"/>
              </w:rPr>
            </w:pPr>
            <w:r w:rsidRPr="0086363C">
              <w:rPr>
                <w:sz w:val="22"/>
                <w:lang w:val="es-ES"/>
              </w:rPr>
              <w:t>9.4</w:t>
            </w:r>
            <w:r w:rsidRPr="0086363C">
              <w:rPr>
                <w:sz w:val="22"/>
                <w:lang w:val="es-ES"/>
              </w:rPr>
              <w:tab/>
              <w:t xml:space="preserve">Así se </w:t>
            </w:r>
            <w:r w:rsidRPr="0086363C">
              <w:rPr>
                <w:b/>
                <w:bCs/>
                <w:sz w:val="22"/>
                <w:lang w:val="es-ES"/>
              </w:rPr>
              <w:t>decide</w:t>
            </w:r>
            <w:r w:rsidRPr="0086363C">
              <w:rPr>
                <w:sz w:val="22"/>
                <w:lang w:val="es-ES"/>
              </w:rPr>
              <w:t>.</w:t>
            </w:r>
          </w:p>
          <w:p w14:paraId="4BAB7371" w14:textId="4B3BB35C" w:rsidR="00967792" w:rsidRPr="0086363C" w:rsidRDefault="00967792" w:rsidP="00B53355">
            <w:pPr>
              <w:spacing w:before="40" w:after="40"/>
              <w:rPr>
                <w:sz w:val="22"/>
                <w:lang w:val="es-ES"/>
              </w:rPr>
            </w:pPr>
            <w:r w:rsidRPr="0086363C">
              <w:rPr>
                <w:sz w:val="22"/>
                <w:lang w:val="es-ES"/>
              </w:rPr>
              <w:br w:type="page"/>
              <w:t>9.5</w:t>
            </w:r>
            <w:r w:rsidRPr="0086363C">
              <w:rPr>
                <w:sz w:val="22"/>
                <w:lang w:val="es-ES"/>
              </w:rPr>
              <w:tab/>
              <w:t xml:space="preserve">La </w:t>
            </w:r>
            <w:r w:rsidRPr="0086363C">
              <w:rPr>
                <w:b/>
                <w:bCs/>
                <w:sz w:val="22"/>
                <w:lang w:val="es-ES"/>
              </w:rPr>
              <w:t>Presidenta</w:t>
            </w:r>
            <w:r w:rsidRPr="0086363C">
              <w:rPr>
                <w:sz w:val="22"/>
                <w:lang w:val="es-ES"/>
              </w:rPr>
              <w:t xml:space="preserve"> señala a la atención el </w:t>
            </w:r>
            <w:hyperlink r:id="rId55" w:history="1">
              <w:r w:rsidRPr="0086363C">
                <w:rPr>
                  <w:rStyle w:val="Hyperlink"/>
                  <w:sz w:val="22"/>
                  <w:lang w:val="es-ES"/>
                </w:rPr>
                <w:t>Documento 382</w:t>
              </w:r>
            </w:hyperlink>
            <w:r w:rsidRPr="0086363C">
              <w:rPr>
                <w:sz w:val="22"/>
                <w:lang w:val="es-ES"/>
              </w:rPr>
              <w:t xml:space="preserve"> y dice que se alcanzó un compromiso entre las Administraciones de la </w:t>
            </w:r>
            <w:r w:rsidRPr="0086363C">
              <w:rPr>
                <w:sz w:val="22"/>
                <w:lang w:val="es-ES"/>
              </w:rPr>
              <w:lastRenderedPageBreak/>
              <w:t>República Democrática Popular de Lao, la República de Corea y la República Popular de China. Por ello, la República Democrática Popular de Lao retira su solicitud de prórroga para la red LSTAR3B (116E) y mantiene su solicitud de una prórroga de tres años para la red LSTAR4B (126E). La solicitud de prórroga es excepcional y las partes afectadas la han aprobado.</w:t>
            </w:r>
          </w:p>
          <w:p w14:paraId="0B78A1BA" w14:textId="77777777" w:rsidR="00967792" w:rsidRPr="0086363C" w:rsidRDefault="00967792" w:rsidP="00B53355">
            <w:pPr>
              <w:spacing w:before="40" w:after="40"/>
              <w:rPr>
                <w:sz w:val="22"/>
                <w:lang w:val="es-ES"/>
              </w:rPr>
            </w:pPr>
            <w:r w:rsidRPr="0086363C">
              <w:rPr>
                <w:sz w:val="22"/>
                <w:lang w:val="es-ES"/>
              </w:rPr>
              <w:t>9.6</w:t>
            </w:r>
            <w:r w:rsidRPr="0086363C">
              <w:rPr>
                <w:sz w:val="22"/>
                <w:lang w:val="es-ES"/>
              </w:rPr>
              <w:tab/>
              <w:t xml:space="preserve">El </w:t>
            </w:r>
            <w:r w:rsidRPr="0086363C">
              <w:rPr>
                <w:b/>
                <w:bCs/>
                <w:sz w:val="22"/>
                <w:lang w:val="es-ES"/>
              </w:rPr>
              <w:t>delegado de Francia</w:t>
            </w:r>
            <w:r w:rsidRPr="0086363C">
              <w:rPr>
                <w:sz w:val="22"/>
                <w:lang w:val="es-ES"/>
              </w:rPr>
              <w:t xml:space="preserve"> dice que está dispuesto a aceptar la solicitud si las demás partes concernidas han dado su acuerdo.</w:t>
            </w:r>
          </w:p>
          <w:p w14:paraId="2DE110B9" w14:textId="77777777" w:rsidR="00967792" w:rsidRPr="0086363C" w:rsidRDefault="00967792" w:rsidP="00B53355">
            <w:pPr>
              <w:spacing w:before="40" w:after="40"/>
              <w:rPr>
                <w:sz w:val="22"/>
                <w:lang w:val="es-ES"/>
              </w:rPr>
            </w:pPr>
            <w:r w:rsidRPr="0086363C">
              <w:rPr>
                <w:sz w:val="22"/>
                <w:lang w:val="es-ES"/>
              </w:rPr>
              <w:t>9.7</w:t>
            </w:r>
            <w:r w:rsidRPr="0086363C">
              <w:rPr>
                <w:sz w:val="22"/>
                <w:lang w:val="es-ES"/>
              </w:rPr>
              <w:tab/>
              <w:t xml:space="preserve">La </w:t>
            </w:r>
            <w:r w:rsidRPr="0086363C">
              <w:rPr>
                <w:b/>
                <w:bCs/>
                <w:sz w:val="22"/>
                <w:lang w:val="es-ES"/>
              </w:rPr>
              <w:t>Presidenta</w:t>
            </w:r>
            <w:r w:rsidRPr="0086363C">
              <w:rPr>
                <w:sz w:val="22"/>
                <w:lang w:val="es-ES"/>
              </w:rPr>
              <w:t xml:space="preserve"> dice que, si no hay objeciones, entiende que la solicitud de la República Democrática Popular de Lao es aceptable.</w:t>
            </w:r>
          </w:p>
          <w:p w14:paraId="2E4B4CDE" w14:textId="77777777" w:rsidR="00967792" w:rsidRPr="0086363C" w:rsidRDefault="00967792" w:rsidP="00B53355">
            <w:pPr>
              <w:spacing w:before="40" w:after="40"/>
              <w:rPr>
                <w:sz w:val="22"/>
                <w:lang w:val="es-ES"/>
              </w:rPr>
            </w:pPr>
            <w:r w:rsidRPr="0086363C">
              <w:rPr>
                <w:sz w:val="22"/>
                <w:lang w:val="es-ES"/>
              </w:rPr>
              <w:t>9.8</w:t>
            </w:r>
            <w:r w:rsidRPr="0086363C">
              <w:rPr>
                <w:sz w:val="22"/>
                <w:lang w:val="es-ES"/>
              </w:rPr>
              <w:tab/>
              <w:t xml:space="preserve">Así se </w:t>
            </w:r>
            <w:r w:rsidRPr="0086363C">
              <w:rPr>
                <w:b/>
                <w:bCs/>
                <w:sz w:val="22"/>
                <w:lang w:val="es-ES"/>
              </w:rPr>
              <w:t>decide</w:t>
            </w:r>
            <w:r w:rsidRPr="0086363C">
              <w:rPr>
                <w:sz w:val="22"/>
                <w:lang w:val="es-ES"/>
              </w:rPr>
              <w:t>.</w:t>
            </w:r>
          </w:p>
          <w:p w14:paraId="74271FA2" w14:textId="77777777" w:rsidR="00967792" w:rsidRPr="0086363C" w:rsidRDefault="00967792" w:rsidP="00B53355">
            <w:pPr>
              <w:spacing w:before="40" w:after="40"/>
              <w:rPr>
                <w:sz w:val="22"/>
                <w:lang w:val="es-ES"/>
              </w:rPr>
            </w:pPr>
            <w:r w:rsidRPr="0086363C">
              <w:rPr>
                <w:sz w:val="22"/>
                <w:lang w:val="es-ES"/>
              </w:rPr>
              <w:t>9.9</w:t>
            </w:r>
            <w:r w:rsidRPr="0086363C">
              <w:rPr>
                <w:sz w:val="22"/>
                <w:lang w:val="es-ES"/>
              </w:rPr>
              <w:tab/>
              <w:t xml:space="preserve">El </w:t>
            </w:r>
            <w:r w:rsidRPr="0086363C">
              <w:rPr>
                <w:b/>
                <w:bCs/>
                <w:sz w:val="22"/>
                <w:lang w:val="es-ES"/>
              </w:rPr>
              <w:t>Director de la BR</w:t>
            </w:r>
            <w:r w:rsidRPr="0086363C">
              <w:rPr>
                <w:sz w:val="22"/>
                <w:lang w:val="es-ES"/>
              </w:rPr>
              <w:t xml:space="preserve"> señala que la Conferencia ha aprobado las dos solicitudes en el entendimiento de que no se establece ningún precedente y porque todas las partes concernidas han dado su acuerdo. Desea que se recoja en actas que no cabe la posibilidad de que ningún tipo de acuerdo sobre las prórrogas se repita en el periodo entre la CMR</w:t>
            </w:r>
            <w:r w:rsidRPr="0086363C">
              <w:rPr>
                <w:sz w:val="22"/>
                <w:lang w:val="es-ES"/>
              </w:rPr>
              <w:noBreakHyphen/>
              <w:t>03 y la CMR</w:t>
            </w:r>
            <w:r w:rsidRPr="0086363C">
              <w:rPr>
                <w:sz w:val="22"/>
                <w:lang w:val="es-ES"/>
              </w:rPr>
              <w:noBreakHyphen/>
              <w:t>07, puesto que bajo ninguna circunstancia la Oficina estará en posición de permitir la identificación de las administraciones con miras a concertar ese tipo de acuerdos.</w:t>
            </w:r>
          </w:p>
          <w:p w14:paraId="77AEBDA8" w14:textId="67AEEF84" w:rsidR="0086363C" w:rsidRPr="0086363C" w:rsidRDefault="0086363C" w:rsidP="00B53355">
            <w:pPr>
              <w:spacing w:before="40" w:after="40"/>
              <w:rPr>
                <w:sz w:val="22"/>
                <w:lang w:val="es-ES"/>
              </w:rPr>
            </w:pPr>
            <w:r w:rsidRPr="0086363C">
              <w:rPr>
                <w:sz w:val="22"/>
                <w:lang w:val="es-ES"/>
              </w:rPr>
              <w:t>9.10</w:t>
            </w:r>
            <w:r w:rsidRPr="0086363C">
              <w:rPr>
                <w:sz w:val="22"/>
                <w:lang w:val="es-ES"/>
              </w:rPr>
              <w:tab/>
              <w:t xml:space="preserve">El </w:t>
            </w:r>
            <w:r w:rsidRPr="0086363C">
              <w:rPr>
                <w:b/>
                <w:bCs/>
                <w:sz w:val="22"/>
                <w:lang w:val="es-ES"/>
              </w:rPr>
              <w:t>delegado de la República Islámica del Irán</w:t>
            </w:r>
            <w:r w:rsidRPr="0086363C">
              <w:rPr>
                <w:sz w:val="22"/>
                <w:lang w:val="es-ES"/>
              </w:rPr>
              <w:t xml:space="preserve"> apoya vivamente la declaración del Director de la BR y dice que la RRB no debería otorgar ninguna prórroga antes de la CMR</w:t>
            </w:r>
            <w:r w:rsidRPr="0086363C">
              <w:rPr>
                <w:sz w:val="22"/>
                <w:lang w:val="es-ES"/>
              </w:rPr>
              <w:noBreakHyphen/>
              <w:t>07.</w:t>
            </w:r>
          </w:p>
        </w:tc>
        <w:tc>
          <w:tcPr>
            <w:tcW w:w="1548" w:type="pct"/>
          </w:tcPr>
          <w:p w14:paraId="26E746B3" w14:textId="53C0AEE4" w:rsidR="00967792" w:rsidRPr="00266695" w:rsidRDefault="00967792" w:rsidP="00B53355">
            <w:pPr>
              <w:pStyle w:val="Tabletext"/>
              <w:rPr>
                <w:lang w:val="es-ES"/>
              </w:rPr>
            </w:pPr>
            <w:r w:rsidRPr="00266695">
              <w:rPr>
                <w:lang w:val="es-ES"/>
              </w:rPr>
              <w:lastRenderedPageBreak/>
              <w:t xml:space="preserve">La BR aplicó la prórroga acordada para las </w:t>
            </w:r>
            <w:r w:rsidR="00D156CD">
              <w:rPr>
                <w:lang w:val="es-ES"/>
              </w:rPr>
              <w:t>dos</w:t>
            </w:r>
            <w:r w:rsidR="00513FD7">
              <w:rPr>
                <w:lang w:val="es-ES"/>
              </w:rPr>
              <w:t> </w:t>
            </w:r>
            <w:r w:rsidRPr="00266695">
              <w:rPr>
                <w:lang w:val="es-ES"/>
              </w:rPr>
              <w:t>administraciones</w:t>
            </w:r>
            <w:r w:rsidR="00D156CD">
              <w:rPr>
                <w:lang w:val="es-ES"/>
              </w:rPr>
              <w:t>.</w:t>
            </w:r>
          </w:p>
        </w:tc>
      </w:tr>
      <w:tr w:rsidR="00967792" w:rsidRPr="00D2027A" w14:paraId="6A49252E" w14:textId="77777777" w:rsidTr="00924C8B">
        <w:tblPrEx>
          <w:tblLook w:val="04A0" w:firstRow="1" w:lastRow="0" w:firstColumn="1" w:lastColumn="0" w:noHBand="0" w:noVBand="1"/>
        </w:tblPrEx>
        <w:trPr>
          <w:jc w:val="center"/>
        </w:trPr>
        <w:tc>
          <w:tcPr>
            <w:tcW w:w="183" w:type="pct"/>
          </w:tcPr>
          <w:p w14:paraId="5EC87AD0" w14:textId="77777777" w:rsidR="00967792" w:rsidRPr="00A616CA" w:rsidRDefault="00967792" w:rsidP="00B53355">
            <w:pPr>
              <w:pStyle w:val="Tabletext"/>
              <w:rPr>
                <w:lang w:val="es-ES"/>
              </w:rPr>
            </w:pPr>
            <w:r w:rsidRPr="00A616CA">
              <w:rPr>
                <w:lang w:val="es-ES"/>
              </w:rPr>
              <w:lastRenderedPageBreak/>
              <w:t>16</w:t>
            </w:r>
          </w:p>
        </w:tc>
        <w:tc>
          <w:tcPr>
            <w:tcW w:w="434" w:type="pct"/>
          </w:tcPr>
          <w:p w14:paraId="4C1C64D0" w14:textId="77777777" w:rsidR="00967792" w:rsidRPr="00A616CA" w:rsidRDefault="00967792" w:rsidP="00B53355">
            <w:pPr>
              <w:pStyle w:val="Tabletext"/>
              <w:rPr>
                <w:lang w:val="es-ES"/>
              </w:rPr>
            </w:pPr>
            <w:r w:rsidRPr="00A616CA">
              <w:rPr>
                <w:lang w:val="es-ES"/>
              </w:rPr>
              <w:t>CMR-03</w:t>
            </w:r>
          </w:p>
        </w:tc>
        <w:tc>
          <w:tcPr>
            <w:tcW w:w="523" w:type="pct"/>
          </w:tcPr>
          <w:p w14:paraId="58B1422C" w14:textId="701CFD06" w:rsidR="00967792" w:rsidRPr="00506BE4" w:rsidRDefault="00967792" w:rsidP="00B53355">
            <w:pPr>
              <w:pStyle w:val="Tabletext"/>
              <w:rPr>
                <w:rFonts w:asciiTheme="majorBidi" w:hAnsiTheme="majorBidi" w:cstheme="majorBidi"/>
                <w:lang w:val="es-ES"/>
              </w:rPr>
            </w:pPr>
            <w:r w:rsidRPr="00506BE4">
              <w:rPr>
                <w:lang w:val="es-ES"/>
              </w:rPr>
              <w:t>14ª</w:t>
            </w:r>
            <w:r w:rsidRPr="00506BE4">
              <w:rPr>
                <w:rFonts w:asciiTheme="majorBidi" w:hAnsiTheme="majorBidi" w:cstheme="majorBidi"/>
                <w:lang w:val="es-ES"/>
              </w:rPr>
              <w:t xml:space="preserve"> Plenaria</w:t>
            </w:r>
            <w:r w:rsidR="00506BE4" w:rsidRPr="00506BE4">
              <w:rPr>
                <w:rFonts w:asciiTheme="majorBidi" w:hAnsiTheme="majorBidi" w:cstheme="majorBidi"/>
                <w:lang w:val="es-ES"/>
              </w:rPr>
              <w:br/>
            </w:r>
            <w:hyperlink r:id="rId56" w:history="1">
              <w:r w:rsidRPr="00506BE4">
                <w:rPr>
                  <w:rStyle w:val="Hyperlink"/>
                  <w:rFonts w:asciiTheme="majorBidi" w:hAnsiTheme="majorBidi" w:cstheme="majorBidi"/>
                  <w:lang w:val="es-ES"/>
                </w:rPr>
                <w:t>Doc. 410</w:t>
              </w:r>
            </w:hyperlink>
          </w:p>
        </w:tc>
        <w:tc>
          <w:tcPr>
            <w:tcW w:w="2312" w:type="pct"/>
          </w:tcPr>
          <w:p w14:paraId="23447CE9" w14:textId="16415088" w:rsidR="00967792" w:rsidRPr="00506BE4" w:rsidRDefault="00967792" w:rsidP="00B53355">
            <w:pPr>
              <w:spacing w:before="40" w:after="40"/>
              <w:rPr>
                <w:sz w:val="22"/>
                <w:lang w:val="es-ES"/>
              </w:rPr>
            </w:pPr>
            <w:r w:rsidRPr="00506BE4">
              <w:rPr>
                <w:sz w:val="22"/>
                <w:lang w:val="es-ES"/>
              </w:rPr>
              <w:t>11.23</w:t>
            </w:r>
            <w:r w:rsidRPr="00506BE4">
              <w:rPr>
                <w:sz w:val="22"/>
                <w:lang w:val="es-ES"/>
              </w:rPr>
              <w:tab/>
              <w:t xml:space="preserve">El </w:t>
            </w:r>
            <w:r w:rsidRPr="00506BE4">
              <w:rPr>
                <w:b/>
                <w:bCs/>
                <w:sz w:val="22"/>
                <w:lang w:val="es-ES"/>
              </w:rPr>
              <w:t xml:space="preserve">Presidente del Grupo </w:t>
            </w:r>
            <w:r w:rsidRPr="00506BE4">
              <w:rPr>
                <w:b/>
                <w:bCs/>
                <w:i/>
                <w:iCs/>
                <w:sz w:val="22"/>
                <w:lang w:val="es-ES"/>
              </w:rPr>
              <w:t>ad hoc</w:t>
            </w:r>
            <w:r w:rsidRPr="00506BE4">
              <w:rPr>
                <w:b/>
                <w:bCs/>
                <w:sz w:val="22"/>
                <w:lang w:val="es-ES"/>
              </w:rPr>
              <w:t> 5 de la Plenaria</w:t>
            </w:r>
            <w:r w:rsidRPr="00506BE4">
              <w:rPr>
                <w:sz w:val="22"/>
                <w:lang w:val="es-ES"/>
              </w:rPr>
              <w:t xml:space="preserve"> señala otras tres cuestiones. En primer lugar, como mencionó anteriormente el delegado de Francia habría que ampliar el ámbito de aplicación de la Resolución </w:t>
            </w:r>
            <w:r w:rsidRPr="00506BE4">
              <w:rPr>
                <w:b/>
                <w:bCs/>
                <w:sz w:val="22"/>
                <w:lang w:val="es-ES"/>
              </w:rPr>
              <w:t>539 (Rev.CMR</w:t>
            </w:r>
            <w:r w:rsidRPr="00506BE4">
              <w:rPr>
                <w:b/>
                <w:bCs/>
                <w:sz w:val="22"/>
                <w:lang w:val="es-ES"/>
              </w:rPr>
              <w:noBreakHyphen/>
              <w:t>03)</w:t>
            </w:r>
            <w:r w:rsidRPr="00506BE4">
              <w:rPr>
                <w:sz w:val="22"/>
                <w:lang w:val="es-ES"/>
              </w:rPr>
              <w:t xml:space="preserve"> para tener en cuenta los 25 MHz adicionales entre los 2 605 y 2 630 MHz; y agrega que podría colaborar en este asunto con la Comisión de Redacción. En segundo lugar, pide al Presidente de la Comisión 4 que garantice que todas las notas modificadas del </w:t>
            </w:r>
            <w:hyperlink r:id="rId57" w:history="1">
              <w:r w:rsidRPr="00506BE4">
                <w:rPr>
                  <w:rStyle w:val="Hyperlink"/>
                  <w:sz w:val="22"/>
                  <w:lang w:val="es-ES"/>
                </w:rPr>
                <w:t>Documento 392</w:t>
              </w:r>
            </w:hyperlink>
            <w:r w:rsidRPr="00506BE4">
              <w:rPr>
                <w:sz w:val="22"/>
                <w:lang w:val="es-ES"/>
              </w:rPr>
              <w:t xml:space="preserve"> entren en vigor inmediatamente después de la Conferencia. En tercer lugar, como se indica en el Documento 368 y con la aprobación de los textos contenidos en los Documentos </w:t>
            </w:r>
            <w:hyperlink r:id="rId58" w:history="1">
              <w:r w:rsidRPr="00506BE4">
                <w:rPr>
                  <w:rStyle w:val="Hyperlink"/>
                  <w:sz w:val="22"/>
                  <w:lang w:val="es-ES"/>
                </w:rPr>
                <w:t>391</w:t>
              </w:r>
            </w:hyperlink>
            <w:r w:rsidRPr="00506BE4">
              <w:rPr>
                <w:sz w:val="22"/>
                <w:lang w:val="es-ES"/>
              </w:rPr>
              <w:t> y </w:t>
            </w:r>
            <w:hyperlink r:id="rId59" w:history="1">
              <w:r w:rsidRPr="00506BE4">
                <w:rPr>
                  <w:rStyle w:val="Hyperlink"/>
                  <w:sz w:val="22"/>
                  <w:lang w:val="es-ES"/>
                </w:rPr>
                <w:t>392</w:t>
              </w:r>
            </w:hyperlink>
            <w:r w:rsidRPr="00506BE4">
              <w:rPr>
                <w:sz w:val="22"/>
                <w:lang w:val="es-ES"/>
              </w:rPr>
              <w:t xml:space="preserve">, habría que incluir el siguiente texto en el acta </w:t>
            </w:r>
            <w:r w:rsidRPr="00506BE4">
              <w:rPr>
                <w:sz w:val="22"/>
                <w:lang w:val="es-ES"/>
              </w:rPr>
              <w:lastRenderedPageBreak/>
              <w:t>de la Plenaria para dar orientación en cuanto a la aplicación de la Resolución </w:t>
            </w:r>
            <w:r w:rsidRPr="00506BE4">
              <w:rPr>
                <w:b/>
                <w:bCs/>
                <w:sz w:val="22"/>
                <w:lang w:val="es-ES"/>
              </w:rPr>
              <w:t>539 (Rev.CMR</w:t>
            </w:r>
            <w:r w:rsidRPr="00506BE4">
              <w:rPr>
                <w:b/>
                <w:bCs/>
                <w:sz w:val="22"/>
                <w:lang w:val="es-ES"/>
              </w:rPr>
              <w:noBreakHyphen/>
              <w:t>03)</w:t>
            </w:r>
            <w:r w:rsidRPr="00506BE4">
              <w:rPr>
                <w:sz w:val="22"/>
                <w:lang w:val="es-ES"/>
              </w:rPr>
              <w:t>:</w:t>
            </w:r>
          </w:p>
          <w:p w14:paraId="1578B1D7" w14:textId="57A1CE0C" w:rsidR="00967792" w:rsidRPr="00506BE4" w:rsidRDefault="00967792" w:rsidP="00B53355">
            <w:pPr>
              <w:pStyle w:val="enumlev1"/>
              <w:spacing w:before="40" w:after="40"/>
              <w:rPr>
                <w:sz w:val="22"/>
                <w:lang w:val="es-ES"/>
              </w:rPr>
            </w:pPr>
            <w:r w:rsidRPr="00506BE4">
              <w:rPr>
                <w:sz w:val="22"/>
                <w:lang w:val="es-ES"/>
              </w:rPr>
              <w:tab/>
              <w:t>«En virtud de la Resolución 539 (Rev.CMR</w:t>
            </w:r>
            <w:r w:rsidRPr="00506BE4">
              <w:rPr>
                <w:sz w:val="22"/>
                <w:lang w:val="es-ES"/>
              </w:rPr>
              <w:noBreakHyphen/>
              <w:t>03), cuando se pida a la administración notificante que procure llegar a un acuerdo con la administración afectada de conformidad con el primer inciso del</w:t>
            </w:r>
            <w:r w:rsidRPr="00506BE4">
              <w:rPr>
                <w:i/>
                <w:iCs/>
                <w:sz w:val="22"/>
                <w:lang w:val="es-ES"/>
              </w:rPr>
              <w:t xml:space="preserve"> encarga a la Oficina de Radiocomunicaciones</w:t>
            </w:r>
            <w:r w:rsidRPr="00506BE4">
              <w:rPr>
                <w:sz w:val="22"/>
                <w:lang w:val="es-ES"/>
              </w:rPr>
              <w:t> 1, y la administración notificante no reciba una respuesta sobre el particular de la administración afectada, podrá solicitar la asistencia de la Oficina. En caso de que, después de que la Oficina preste su asistencia, la administración afectada siga sin responder, se estimará que dicha administración acepta el exceso de densidad de flujo de potencia en el territorio de su país»</w:t>
            </w:r>
            <w:r w:rsidR="003B320A" w:rsidRPr="00506BE4">
              <w:rPr>
                <w:sz w:val="22"/>
                <w:lang w:val="es-ES"/>
              </w:rPr>
              <w:t>.</w:t>
            </w:r>
          </w:p>
          <w:p w14:paraId="524B4B9D" w14:textId="77777777" w:rsidR="00967792" w:rsidRPr="00506BE4" w:rsidRDefault="00967792" w:rsidP="00B53355">
            <w:pPr>
              <w:spacing w:before="40" w:after="40"/>
              <w:rPr>
                <w:sz w:val="22"/>
                <w:lang w:val="es-ES"/>
              </w:rPr>
            </w:pPr>
            <w:r w:rsidRPr="00506BE4">
              <w:rPr>
                <w:sz w:val="22"/>
                <w:lang w:val="es-ES"/>
              </w:rPr>
              <w:t>11.24</w:t>
            </w:r>
            <w:r w:rsidRPr="00506BE4">
              <w:rPr>
                <w:sz w:val="22"/>
                <w:lang w:val="es-ES"/>
              </w:rPr>
              <w:tab/>
              <w:t xml:space="preserve">La </w:t>
            </w:r>
            <w:r w:rsidRPr="00506BE4">
              <w:rPr>
                <w:b/>
                <w:bCs/>
                <w:sz w:val="22"/>
                <w:lang w:val="es-ES"/>
              </w:rPr>
              <w:t xml:space="preserve">Presidenta </w:t>
            </w:r>
            <w:r w:rsidRPr="00506BE4">
              <w:rPr>
                <w:sz w:val="22"/>
                <w:lang w:val="es-ES"/>
              </w:rPr>
              <w:t xml:space="preserve">dice que, de no haber objeción, entenderá que la sesión desea aprobar el enfoque indicado por el Presidente del Grupo </w:t>
            </w:r>
            <w:r w:rsidRPr="00924C8B">
              <w:rPr>
                <w:i/>
                <w:iCs/>
                <w:sz w:val="22"/>
                <w:lang w:val="es-ES"/>
              </w:rPr>
              <w:t>ad hoc</w:t>
            </w:r>
            <w:r w:rsidRPr="00506BE4">
              <w:rPr>
                <w:sz w:val="22"/>
                <w:lang w:val="es-ES"/>
              </w:rPr>
              <w:t> 5 de la Plenaria, incluido el texto referente a la aplicación de la Resolución </w:t>
            </w:r>
            <w:r w:rsidRPr="00506BE4">
              <w:rPr>
                <w:b/>
                <w:bCs/>
                <w:sz w:val="22"/>
                <w:lang w:val="es-ES"/>
              </w:rPr>
              <w:t>539 (Rev.CMR</w:t>
            </w:r>
            <w:r w:rsidRPr="00506BE4">
              <w:rPr>
                <w:b/>
                <w:bCs/>
                <w:sz w:val="22"/>
                <w:lang w:val="es-ES"/>
              </w:rPr>
              <w:noBreakHyphen/>
              <w:t>03)</w:t>
            </w:r>
            <w:r w:rsidRPr="00506BE4">
              <w:rPr>
                <w:sz w:val="22"/>
                <w:lang w:val="es-ES"/>
              </w:rPr>
              <w:t>.</w:t>
            </w:r>
          </w:p>
          <w:p w14:paraId="05B20B18" w14:textId="713392CD" w:rsidR="00C75A3E" w:rsidRPr="00506BE4" w:rsidRDefault="00967792" w:rsidP="00B53355">
            <w:pPr>
              <w:spacing w:before="40" w:after="40"/>
              <w:rPr>
                <w:sz w:val="22"/>
                <w:lang w:val="es-ES"/>
              </w:rPr>
            </w:pPr>
            <w:r w:rsidRPr="00506BE4">
              <w:rPr>
                <w:sz w:val="22"/>
                <w:lang w:val="es-ES"/>
              </w:rPr>
              <w:t>11.25</w:t>
            </w:r>
            <w:r w:rsidRPr="00506BE4">
              <w:rPr>
                <w:sz w:val="22"/>
                <w:lang w:val="es-ES"/>
              </w:rPr>
              <w:tab/>
              <w:t>Así se</w:t>
            </w:r>
            <w:r w:rsidRPr="00506BE4">
              <w:rPr>
                <w:b/>
                <w:bCs/>
                <w:sz w:val="22"/>
                <w:lang w:val="es-ES"/>
              </w:rPr>
              <w:t xml:space="preserve"> acuerda</w:t>
            </w:r>
            <w:r w:rsidRPr="00506BE4">
              <w:rPr>
                <w:sz w:val="22"/>
                <w:lang w:val="es-ES"/>
              </w:rPr>
              <w:t>.</w:t>
            </w:r>
          </w:p>
        </w:tc>
        <w:tc>
          <w:tcPr>
            <w:tcW w:w="1548" w:type="pct"/>
          </w:tcPr>
          <w:p w14:paraId="7C372310" w14:textId="40D4517C" w:rsidR="00967792" w:rsidRPr="00266695" w:rsidRDefault="00967792" w:rsidP="00B53355">
            <w:pPr>
              <w:pStyle w:val="Tabletext"/>
              <w:rPr>
                <w:lang w:val="es-ES"/>
              </w:rPr>
            </w:pPr>
          </w:p>
        </w:tc>
      </w:tr>
      <w:tr w:rsidR="00967792" w:rsidRPr="00D2027A" w14:paraId="73898E3F" w14:textId="77777777" w:rsidTr="00924C8B">
        <w:tblPrEx>
          <w:tblLook w:val="04A0" w:firstRow="1" w:lastRow="0" w:firstColumn="1" w:lastColumn="0" w:noHBand="0" w:noVBand="1"/>
        </w:tblPrEx>
        <w:trPr>
          <w:jc w:val="center"/>
        </w:trPr>
        <w:tc>
          <w:tcPr>
            <w:tcW w:w="183" w:type="pct"/>
          </w:tcPr>
          <w:p w14:paraId="13244608" w14:textId="77777777" w:rsidR="00967792" w:rsidRPr="00A616CA" w:rsidRDefault="00967792" w:rsidP="00B53355">
            <w:pPr>
              <w:pStyle w:val="Tabletext"/>
              <w:rPr>
                <w:lang w:val="es-ES"/>
              </w:rPr>
            </w:pPr>
            <w:r w:rsidRPr="00A616CA">
              <w:rPr>
                <w:lang w:val="es-ES"/>
              </w:rPr>
              <w:t>17</w:t>
            </w:r>
          </w:p>
        </w:tc>
        <w:tc>
          <w:tcPr>
            <w:tcW w:w="434" w:type="pct"/>
          </w:tcPr>
          <w:p w14:paraId="719F5F18" w14:textId="77777777" w:rsidR="00967792" w:rsidRPr="00A616CA" w:rsidRDefault="00967792" w:rsidP="00B53355">
            <w:pPr>
              <w:pStyle w:val="Tabletext"/>
              <w:rPr>
                <w:lang w:val="es-ES"/>
              </w:rPr>
            </w:pPr>
            <w:r w:rsidRPr="00A616CA">
              <w:rPr>
                <w:lang w:val="es-ES"/>
              </w:rPr>
              <w:t>CMR-03</w:t>
            </w:r>
          </w:p>
        </w:tc>
        <w:tc>
          <w:tcPr>
            <w:tcW w:w="523" w:type="pct"/>
          </w:tcPr>
          <w:p w14:paraId="25AD4E43" w14:textId="286690F7" w:rsidR="00967792" w:rsidRPr="00C75A3E" w:rsidRDefault="00967792" w:rsidP="00B53355">
            <w:pPr>
              <w:pStyle w:val="Tabletext"/>
              <w:rPr>
                <w:rFonts w:asciiTheme="majorBidi" w:hAnsiTheme="majorBidi" w:cstheme="majorBidi"/>
                <w:lang w:val="es-ES"/>
              </w:rPr>
            </w:pPr>
            <w:r w:rsidRPr="00C75A3E">
              <w:rPr>
                <w:rFonts w:asciiTheme="majorBidi" w:hAnsiTheme="majorBidi" w:cstheme="majorBidi"/>
                <w:lang w:val="es-ES"/>
              </w:rPr>
              <w:t>14ª Plenaria</w:t>
            </w:r>
            <w:r w:rsidR="00C75A3E" w:rsidRPr="00C75A3E">
              <w:rPr>
                <w:rFonts w:asciiTheme="majorBidi" w:hAnsiTheme="majorBidi" w:cstheme="majorBidi"/>
                <w:lang w:val="es-ES"/>
              </w:rPr>
              <w:br/>
            </w:r>
            <w:hyperlink r:id="rId60" w:history="1">
              <w:r w:rsidRPr="00C75A3E">
                <w:rPr>
                  <w:rStyle w:val="Hyperlink"/>
                  <w:rFonts w:asciiTheme="majorBidi" w:hAnsiTheme="majorBidi" w:cstheme="majorBidi"/>
                  <w:lang w:val="es-ES"/>
                </w:rPr>
                <w:t>Doc. 410</w:t>
              </w:r>
            </w:hyperlink>
          </w:p>
        </w:tc>
        <w:tc>
          <w:tcPr>
            <w:tcW w:w="2312" w:type="pct"/>
          </w:tcPr>
          <w:p w14:paraId="04A01E62" w14:textId="77777777" w:rsidR="00967792" w:rsidRPr="00C75A3E" w:rsidRDefault="00967792" w:rsidP="00B53355">
            <w:pPr>
              <w:pStyle w:val="Heading1"/>
              <w:spacing w:before="40" w:after="40"/>
              <w:outlineLvl w:val="0"/>
              <w:rPr>
                <w:sz w:val="22"/>
                <w:lang w:val="es-ES"/>
              </w:rPr>
            </w:pPr>
            <w:r w:rsidRPr="00C75A3E">
              <w:rPr>
                <w:sz w:val="22"/>
                <w:lang w:val="es-ES"/>
              </w:rPr>
              <w:t>28</w:t>
            </w:r>
            <w:r w:rsidRPr="00C75A3E">
              <w:rPr>
                <w:sz w:val="22"/>
                <w:lang w:val="es-ES"/>
              </w:rPr>
              <w:tab/>
              <w:t>Informe del Presidente de la Comisión 6 (Documento 370)</w:t>
            </w:r>
          </w:p>
          <w:p w14:paraId="0DBA585E" w14:textId="324C6938" w:rsidR="00967792" w:rsidRPr="00C75A3E" w:rsidRDefault="00967792" w:rsidP="00B53355">
            <w:pPr>
              <w:spacing w:before="40" w:after="40"/>
              <w:rPr>
                <w:sz w:val="22"/>
                <w:lang w:val="es-ES"/>
              </w:rPr>
            </w:pPr>
            <w:r w:rsidRPr="00C75A3E">
              <w:rPr>
                <w:sz w:val="22"/>
                <w:lang w:val="es-ES"/>
              </w:rPr>
              <w:t>28.1</w:t>
            </w:r>
            <w:r w:rsidRPr="00C75A3E">
              <w:rPr>
                <w:sz w:val="22"/>
                <w:lang w:val="es-ES"/>
              </w:rPr>
              <w:tab/>
              <w:t xml:space="preserve">El </w:t>
            </w:r>
            <w:r w:rsidRPr="00C75A3E">
              <w:rPr>
                <w:b/>
                <w:bCs/>
                <w:sz w:val="22"/>
                <w:lang w:val="es-ES"/>
              </w:rPr>
              <w:t>Presidente de la Comisión 6</w:t>
            </w:r>
            <w:r w:rsidRPr="00C75A3E">
              <w:rPr>
                <w:sz w:val="22"/>
                <w:lang w:val="es-ES"/>
              </w:rPr>
              <w:t xml:space="preserve"> indica que el </w:t>
            </w:r>
            <w:hyperlink r:id="rId61" w:history="1">
              <w:r w:rsidRPr="00C75A3E">
                <w:rPr>
                  <w:rStyle w:val="Hyperlink"/>
                  <w:sz w:val="22"/>
                  <w:lang w:val="es-ES"/>
                </w:rPr>
                <w:t>Documento 370</w:t>
              </w:r>
            </w:hyperlink>
            <w:r w:rsidRPr="00C75A3E">
              <w:rPr>
                <w:sz w:val="22"/>
                <w:lang w:val="es-ES"/>
              </w:rPr>
              <w:t xml:space="preserve"> contiene una serie de declaraciones de importancia para la Oficina de Radiocomunicaciones y sus actividades diarias con respecto a la aplicación del Reglamento de Radiocomunicaciones. Pide que dichas declaraciones queden reflejadas en las actas de la reunión.</w:t>
            </w:r>
          </w:p>
          <w:p w14:paraId="40DCBB8E" w14:textId="386D619C" w:rsidR="00967792" w:rsidRPr="00C75A3E" w:rsidRDefault="00967792" w:rsidP="00B53355">
            <w:pPr>
              <w:spacing w:before="40" w:after="40"/>
              <w:rPr>
                <w:sz w:val="22"/>
                <w:lang w:val="es-ES"/>
              </w:rPr>
            </w:pPr>
            <w:r w:rsidRPr="00C75A3E">
              <w:rPr>
                <w:sz w:val="22"/>
                <w:lang w:val="es-ES"/>
              </w:rPr>
              <w:t>28.2</w:t>
            </w:r>
            <w:r w:rsidRPr="00C75A3E">
              <w:rPr>
                <w:sz w:val="22"/>
                <w:lang w:val="es-ES"/>
              </w:rPr>
              <w:tab/>
              <w:t xml:space="preserve">El </w:t>
            </w:r>
            <w:r w:rsidRPr="00C75A3E">
              <w:rPr>
                <w:b/>
                <w:bCs/>
                <w:sz w:val="22"/>
                <w:lang w:val="es-ES"/>
              </w:rPr>
              <w:t>delegado de Francia</w:t>
            </w:r>
            <w:r w:rsidRPr="00C75A3E">
              <w:rPr>
                <w:sz w:val="22"/>
                <w:lang w:val="es-ES"/>
              </w:rPr>
              <w:t xml:space="preserve"> propone que la Plenaria apruebe las conclusiones de la Comisión 6, reproducidas en el </w:t>
            </w:r>
            <w:hyperlink r:id="rId62" w:history="1">
              <w:r w:rsidRPr="00C75A3E">
                <w:rPr>
                  <w:rStyle w:val="Hyperlink"/>
                  <w:sz w:val="22"/>
                  <w:lang w:val="es-ES"/>
                </w:rPr>
                <w:t>Documento 370</w:t>
              </w:r>
            </w:hyperlink>
            <w:r w:rsidRPr="00C75A3E">
              <w:rPr>
                <w:sz w:val="22"/>
                <w:lang w:val="es-ES"/>
              </w:rPr>
              <w:t>.</w:t>
            </w:r>
          </w:p>
          <w:p w14:paraId="6F141345" w14:textId="57467676" w:rsidR="00967792" w:rsidRPr="00C75A3E" w:rsidRDefault="00967792" w:rsidP="00B53355">
            <w:pPr>
              <w:spacing w:before="40" w:after="40"/>
              <w:rPr>
                <w:sz w:val="22"/>
                <w:lang w:val="es-ES"/>
              </w:rPr>
            </w:pPr>
            <w:r w:rsidRPr="00C75A3E">
              <w:rPr>
                <w:sz w:val="22"/>
                <w:lang w:val="es-ES"/>
              </w:rPr>
              <w:t>28.3</w:t>
            </w:r>
            <w:r w:rsidRPr="00C75A3E">
              <w:rPr>
                <w:sz w:val="22"/>
                <w:lang w:val="es-ES"/>
              </w:rPr>
              <w:tab/>
              <w:t xml:space="preserve">Se </w:t>
            </w:r>
            <w:r w:rsidRPr="00C75A3E">
              <w:rPr>
                <w:b/>
                <w:bCs/>
                <w:sz w:val="22"/>
                <w:lang w:val="es-ES"/>
              </w:rPr>
              <w:t>aprueba</w:t>
            </w:r>
            <w:r w:rsidRPr="00C75A3E">
              <w:rPr>
                <w:sz w:val="22"/>
                <w:lang w:val="es-ES"/>
              </w:rPr>
              <w:t xml:space="preserve"> el </w:t>
            </w:r>
            <w:hyperlink r:id="rId63" w:history="1">
              <w:r w:rsidRPr="00C75A3E">
                <w:rPr>
                  <w:rStyle w:val="Hyperlink"/>
                  <w:sz w:val="22"/>
                  <w:lang w:val="es-ES"/>
                </w:rPr>
                <w:t>Documento 370</w:t>
              </w:r>
            </w:hyperlink>
            <w:r w:rsidRPr="00C75A3E">
              <w:rPr>
                <w:sz w:val="22"/>
                <w:lang w:val="es-ES"/>
              </w:rPr>
              <w:t>.</w:t>
            </w:r>
          </w:p>
        </w:tc>
        <w:tc>
          <w:tcPr>
            <w:tcW w:w="1548" w:type="pct"/>
          </w:tcPr>
          <w:p w14:paraId="0B86CCCE" w14:textId="77777777" w:rsidR="00967792" w:rsidRPr="00D2027A" w:rsidRDefault="00967792" w:rsidP="00B53355">
            <w:pPr>
              <w:pStyle w:val="Tabletext"/>
              <w:rPr>
                <w:rFonts w:asciiTheme="majorBidi" w:hAnsiTheme="majorBidi" w:cstheme="majorBidi"/>
                <w:szCs w:val="24"/>
                <w:lang w:val="es-ES" w:eastAsia="ja-JP"/>
              </w:rPr>
            </w:pPr>
            <w:r w:rsidRPr="00266695">
              <w:rPr>
                <w:lang w:val="es-ES"/>
              </w:rPr>
              <w:t>Cuestiones</w:t>
            </w:r>
            <w:r w:rsidRPr="00D2027A">
              <w:rPr>
                <w:rFonts w:asciiTheme="majorBidi" w:hAnsiTheme="majorBidi" w:cstheme="majorBidi"/>
                <w:szCs w:val="24"/>
                <w:lang w:val="es-ES" w:eastAsia="ja-JP"/>
              </w:rPr>
              <w:t xml:space="preserve"> relativas a la reintroducción del periodo de 30 días, tolerancia de 0,05 dB (integrada por la CMR</w:t>
            </w:r>
            <w:r w:rsidRPr="00D2027A">
              <w:rPr>
                <w:rFonts w:asciiTheme="majorBidi" w:hAnsiTheme="majorBidi" w:cstheme="majorBidi"/>
                <w:szCs w:val="24"/>
                <w:lang w:val="es-ES" w:eastAsia="ja-JP"/>
              </w:rPr>
              <w:noBreakHyphen/>
              <w:t>07 en el Anexo 4 del Apéndice </w:t>
            </w:r>
            <w:r w:rsidRPr="00C75A3E">
              <w:rPr>
                <w:rFonts w:asciiTheme="majorBidi" w:hAnsiTheme="majorBidi" w:cstheme="majorBidi"/>
                <w:b/>
                <w:bCs/>
                <w:szCs w:val="24"/>
                <w:lang w:val="es-ES" w:eastAsia="ja-JP"/>
              </w:rPr>
              <w:t>30B</w:t>
            </w:r>
            <w:r w:rsidRPr="00D2027A">
              <w:rPr>
                <w:rFonts w:asciiTheme="majorBidi" w:hAnsiTheme="majorBidi" w:cstheme="majorBidi"/>
                <w:szCs w:val="24"/>
                <w:lang w:val="es-ES" w:eastAsia="ja-JP"/>
              </w:rPr>
              <w:t>), el plazo reglamentario mencionado en los párrafos 4.1.3 ó 4.2.6, la aplicaciones de los párrafos 4.1.10ter y 4.2.14ter, se han revisado los Cuadros con arreglo al Artículo </w:t>
            </w:r>
            <w:r w:rsidRPr="00C75A3E">
              <w:rPr>
                <w:rFonts w:asciiTheme="majorBidi" w:hAnsiTheme="majorBidi" w:cstheme="majorBidi"/>
                <w:b/>
                <w:bCs/>
                <w:szCs w:val="24"/>
                <w:lang w:val="es-ES" w:eastAsia="ja-JP"/>
              </w:rPr>
              <w:t>11</w:t>
            </w:r>
            <w:r w:rsidRPr="00D2027A">
              <w:rPr>
                <w:rFonts w:asciiTheme="majorBidi" w:hAnsiTheme="majorBidi" w:cstheme="majorBidi"/>
                <w:szCs w:val="24"/>
                <w:lang w:val="es-ES" w:eastAsia="ja-JP"/>
              </w:rPr>
              <w:t xml:space="preserve"> y </w:t>
            </w:r>
            <w:r w:rsidRPr="00C75A3E">
              <w:rPr>
                <w:rFonts w:asciiTheme="majorBidi" w:hAnsiTheme="majorBidi" w:cstheme="majorBidi"/>
                <w:b/>
                <w:bCs/>
                <w:szCs w:val="24"/>
                <w:lang w:val="es-ES" w:eastAsia="ja-JP"/>
              </w:rPr>
              <w:t>9A</w:t>
            </w:r>
            <w:r w:rsidRPr="00D2027A">
              <w:rPr>
                <w:rFonts w:asciiTheme="majorBidi" w:hAnsiTheme="majorBidi" w:cstheme="majorBidi"/>
                <w:szCs w:val="24"/>
                <w:lang w:val="es-ES" w:eastAsia="ja-JP"/>
              </w:rPr>
              <w:t>.</w:t>
            </w:r>
          </w:p>
          <w:p w14:paraId="4D6BBFFF" w14:textId="4D602376" w:rsidR="00967792" w:rsidRPr="00D2027A" w:rsidRDefault="00967792" w:rsidP="00B53355">
            <w:pPr>
              <w:pStyle w:val="Tabletext"/>
              <w:rPr>
                <w:rFonts w:asciiTheme="majorBidi" w:hAnsiTheme="majorBidi" w:cstheme="majorBidi"/>
                <w:szCs w:val="24"/>
                <w:lang w:val="es-ES" w:eastAsia="ja-JP"/>
              </w:rPr>
            </w:pPr>
            <w:r w:rsidRPr="00D2027A">
              <w:rPr>
                <w:rFonts w:asciiTheme="majorBidi" w:hAnsiTheme="majorBidi" w:cstheme="majorBidi"/>
                <w:szCs w:val="24"/>
                <w:lang w:val="es-ES" w:eastAsia="ja-JP"/>
              </w:rPr>
              <w:t xml:space="preserve">La modificación del Plan por CAN para la Región 2, la aplicabilidad de la Res. </w:t>
            </w:r>
            <w:r w:rsidRPr="00C75A3E">
              <w:rPr>
                <w:rFonts w:asciiTheme="majorBidi" w:hAnsiTheme="majorBidi" w:cstheme="majorBidi"/>
                <w:b/>
                <w:bCs/>
                <w:szCs w:val="24"/>
                <w:lang w:val="es-ES" w:eastAsia="ja-JP"/>
              </w:rPr>
              <w:t>49</w:t>
            </w:r>
            <w:r w:rsidRPr="00D2027A">
              <w:rPr>
                <w:rFonts w:asciiTheme="majorBidi" w:hAnsiTheme="majorBidi" w:cstheme="majorBidi"/>
                <w:szCs w:val="24"/>
                <w:lang w:val="es-ES" w:eastAsia="ja-JP"/>
              </w:rPr>
              <w:t xml:space="preserve"> a las comunicaciones con arreglo al Artículo </w:t>
            </w:r>
            <w:r w:rsidRPr="00C75A3E">
              <w:rPr>
                <w:rFonts w:asciiTheme="majorBidi" w:hAnsiTheme="majorBidi" w:cstheme="majorBidi"/>
                <w:b/>
                <w:bCs/>
                <w:szCs w:val="24"/>
                <w:lang w:val="es-ES" w:eastAsia="ja-JP"/>
              </w:rPr>
              <w:t>2A</w:t>
            </w:r>
            <w:r w:rsidRPr="00D2027A">
              <w:rPr>
                <w:rFonts w:asciiTheme="majorBidi" w:hAnsiTheme="majorBidi" w:cstheme="majorBidi"/>
                <w:szCs w:val="24"/>
                <w:lang w:val="es-ES" w:eastAsia="ja-JP"/>
              </w:rPr>
              <w:t xml:space="preserve">, </w:t>
            </w:r>
            <w:r w:rsidRPr="00266695">
              <w:rPr>
                <w:lang w:val="es-ES"/>
              </w:rPr>
              <w:t>aplicación</w:t>
            </w:r>
            <w:r w:rsidRPr="00D2027A">
              <w:rPr>
                <w:rFonts w:asciiTheme="majorBidi" w:hAnsiTheme="majorBidi" w:cstheme="majorBidi"/>
                <w:szCs w:val="24"/>
                <w:lang w:val="es-ES" w:eastAsia="ja-JP"/>
              </w:rPr>
              <w:t xml:space="preserve"> de la nota 4</w:t>
            </w:r>
            <w:r w:rsidRPr="00C75A3E">
              <w:rPr>
                <w:rFonts w:asciiTheme="majorBidi" w:hAnsiTheme="majorBidi" w:cstheme="majorBidi"/>
                <w:i/>
                <w:iCs/>
                <w:szCs w:val="24"/>
                <w:lang w:val="es-ES" w:eastAsia="ja-JP"/>
              </w:rPr>
              <w:t>bis</w:t>
            </w:r>
            <w:r w:rsidRPr="00D2027A">
              <w:rPr>
                <w:rFonts w:asciiTheme="majorBidi" w:hAnsiTheme="majorBidi" w:cstheme="majorBidi"/>
                <w:szCs w:val="24"/>
                <w:lang w:val="es-ES" w:eastAsia="ja-JP"/>
              </w:rPr>
              <w:t xml:space="preserve"> y 8</w:t>
            </w:r>
            <w:r w:rsidRPr="00C75A3E">
              <w:rPr>
                <w:rFonts w:asciiTheme="majorBidi" w:hAnsiTheme="majorBidi" w:cstheme="majorBidi"/>
                <w:i/>
                <w:iCs/>
                <w:szCs w:val="24"/>
                <w:lang w:val="es-ES" w:eastAsia="ja-JP"/>
              </w:rPr>
              <w:t>bis</w:t>
            </w:r>
            <w:r w:rsidRPr="00D2027A">
              <w:rPr>
                <w:rFonts w:asciiTheme="majorBidi" w:hAnsiTheme="majorBidi" w:cstheme="majorBidi"/>
                <w:szCs w:val="24"/>
                <w:lang w:val="es-ES" w:eastAsia="ja-JP"/>
              </w:rPr>
              <w:t xml:space="preserve"> de los párrafos</w:t>
            </w:r>
            <w:r w:rsidR="00D156CD">
              <w:rPr>
                <w:rFonts w:asciiTheme="majorBidi" w:hAnsiTheme="majorBidi" w:cstheme="majorBidi"/>
                <w:szCs w:val="24"/>
                <w:lang w:val="es-ES" w:eastAsia="ja-JP"/>
              </w:rPr>
              <w:t> </w:t>
            </w:r>
            <w:r w:rsidRPr="00D2027A">
              <w:rPr>
                <w:rFonts w:asciiTheme="majorBidi" w:hAnsiTheme="majorBidi" w:cstheme="majorBidi"/>
                <w:szCs w:val="24"/>
                <w:lang w:val="es-ES" w:eastAsia="ja-JP"/>
              </w:rPr>
              <w:t>4.1.1 y 4.2.2, y el examen con arreglo al 5.2.1d) siguen siendo pertinentes.</w:t>
            </w:r>
          </w:p>
          <w:p w14:paraId="5A546A94" w14:textId="726F0C3D" w:rsidR="00967792" w:rsidRPr="00D2027A" w:rsidRDefault="00967792" w:rsidP="00B53355">
            <w:pPr>
              <w:pStyle w:val="Tabletext"/>
              <w:rPr>
                <w:rFonts w:asciiTheme="majorBidi" w:hAnsiTheme="majorBidi" w:cstheme="majorBidi"/>
                <w:szCs w:val="24"/>
                <w:lang w:val="es-ES"/>
              </w:rPr>
            </w:pPr>
            <w:r w:rsidRPr="00D2027A">
              <w:rPr>
                <w:rFonts w:asciiTheme="majorBidi" w:hAnsiTheme="majorBidi" w:cstheme="majorBidi"/>
                <w:szCs w:val="24"/>
                <w:lang w:val="es-ES" w:eastAsia="ja-JP"/>
              </w:rPr>
              <w:t>Concepto de agrupación: en la 32ª </w:t>
            </w:r>
            <w:r w:rsidR="00D156CD">
              <w:rPr>
                <w:rFonts w:asciiTheme="majorBidi" w:hAnsiTheme="majorBidi" w:cstheme="majorBidi"/>
                <w:szCs w:val="24"/>
                <w:lang w:val="es-ES" w:eastAsia="ja-JP"/>
              </w:rPr>
              <w:t>r</w:t>
            </w:r>
            <w:r w:rsidRPr="00D2027A">
              <w:rPr>
                <w:rFonts w:asciiTheme="majorBidi" w:hAnsiTheme="majorBidi" w:cstheme="majorBidi"/>
                <w:szCs w:val="24"/>
                <w:lang w:val="es-ES" w:eastAsia="ja-JP"/>
              </w:rPr>
              <w:t xml:space="preserve">eunión de la RRB (1-5 de diciembre de 2003) se adoptó </w:t>
            </w:r>
            <w:r w:rsidRPr="00D2027A">
              <w:rPr>
                <w:rFonts w:asciiTheme="majorBidi" w:hAnsiTheme="majorBidi" w:cstheme="majorBidi"/>
                <w:szCs w:val="24"/>
                <w:lang w:val="es-ES" w:eastAsia="ja-JP"/>
              </w:rPr>
              <w:lastRenderedPageBreak/>
              <w:t xml:space="preserve">la </w:t>
            </w:r>
            <w:r w:rsidRPr="00266695">
              <w:rPr>
                <w:lang w:val="es-ES"/>
              </w:rPr>
              <w:t>Regla</w:t>
            </w:r>
            <w:r w:rsidRPr="00D2027A">
              <w:rPr>
                <w:rFonts w:asciiTheme="majorBidi" w:hAnsiTheme="majorBidi" w:cstheme="majorBidi"/>
                <w:szCs w:val="24"/>
                <w:lang w:val="es-ES" w:eastAsia="ja-JP"/>
              </w:rPr>
              <w:t xml:space="preserve"> de Procedimiento modificada relativa al §</w:t>
            </w:r>
            <w:r w:rsidR="00D156CD">
              <w:rPr>
                <w:rFonts w:asciiTheme="majorBidi" w:hAnsiTheme="majorBidi" w:cstheme="majorBidi"/>
                <w:szCs w:val="24"/>
                <w:lang w:val="es-ES" w:eastAsia="ja-JP"/>
              </w:rPr>
              <w:t> </w:t>
            </w:r>
            <w:r w:rsidRPr="00D2027A">
              <w:rPr>
                <w:rFonts w:asciiTheme="majorBidi" w:hAnsiTheme="majorBidi" w:cstheme="majorBidi"/>
                <w:szCs w:val="24"/>
                <w:lang w:val="es-ES" w:eastAsia="ja-JP"/>
              </w:rPr>
              <w:t>4.1.1a) y al §</w:t>
            </w:r>
            <w:r w:rsidR="00D156CD">
              <w:rPr>
                <w:rFonts w:asciiTheme="majorBidi" w:hAnsiTheme="majorBidi" w:cstheme="majorBidi"/>
                <w:szCs w:val="24"/>
                <w:lang w:val="es-ES" w:eastAsia="ja-JP"/>
              </w:rPr>
              <w:t> </w:t>
            </w:r>
            <w:r w:rsidRPr="00D2027A">
              <w:rPr>
                <w:rFonts w:asciiTheme="majorBidi" w:hAnsiTheme="majorBidi" w:cstheme="majorBidi"/>
                <w:szCs w:val="24"/>
                <w:lang w:val="es-ES" w:eastAsia="ja-JP"/>
              </w:rPr>
              <w:t>4.1.1b) de los Apéndices </w:t>
            </w:r>
            <w:r w:rsidRPr="00C75A3E">
              <w:rPr>
                <w:rFonts w:asciiTheme="majorBidi" w:hAnsiTheme="majorBidi" w:cstheme="majorBidi"/>
                <w:b/>
                <w:bCs/>
                <w:szCs w:val="24"/>
                <w:lang w:val="es-ES" w:eastAsia="ja-JP"/>
              </w:rPr>
              <w:t>30</w:t>
            </w:r>
            <w:r w:rsidRPr="00D2027A">
              <w:rPr>
                <w:rFonts w:asciiTheme="majorBidi" w:hAnsiTheme="majorBidi" w:cstheme="majorBidi"/>
                <w:szCs w:val="24"/>
                <w:lang w:val="es-ES" w:eastAsia="ja-JP"/>
              </w:rPr>
              <w:t xml:space="preserve"> y </w:t>
            </w:r>
            <w:r w:rsidRPr="00C75A3E">
              <w:rPr>
                <w:rFonts w:asciiTheme="majorBidi" w:hAnsiTheme="majorBidi" w:cstheme="majorBidi"/>
                <w:b/>
                <w:bCs/>
                <w:szCs w:val="24"/>
                <w:lang w:val="es-ES" w:eastAsia="ja-JP"/>
              </w:rPr>
              <w:t>30A</w:t>
            </w:r>
            <w:r w:rsidRPr="00D2027A">
              <w:rPr>
                <w:rFonts w:asciiTheme="majorBidi" w:hAnsiTheme="majorBidi" w:cstheme="majorBidi"/>
                <w:szCs w:val="24"/>
                <w:lang w:val="es-ES" w:eastAsia="ja-JP"/>
              </w:rPr>
              <w:t xml:space="preserve"> (</w:t>
            </w:r>
            <w:hyperlink r:id="rId64" w:history="1">
              <w:r w:rsidRPr="00D2027A">
                <w:rPr>
                  <w:rStyle w:val="Hyperlink"/>
                  <w:rFonts w:asciiTheme="majorBidi" w:hAnsiTheme="majorBidi" w:cstheme="majorBidi"/>
                  <w:szCs w:val="24"/>
                  <w:lang w:val="es-ES" w:eastAsia="ja-JP"/>
                </w:rPr>
                <w:t>CR/208</w:t>
              </w:r>
            </w:hyperlink>
            <w:r w:rsidRPr="00D2027A">
              <w:rPr>
                <w:rFonts w:asciiTheme="majorBidi" w:hAnsiTheme="majorBidi" w:cstheme="majorBidi"/>
                <w:szCs w:val="24"/>
                <w:lang w:val="es-ES" w:eastAsia="ja-JP"/>
              </w:rPr>
              <w:t>).</w:t>
            </w:r>
          </w:p>
        </w:tc>
      </w:tr>
      <w:tr w:rsidR="00967792" w:rsidRPr="00D2027A" w14:paraId="485EED2E" w14:textId="77777777" w:rsidTr="00924C8B">
        <w:trPr>
          <w:jc w:val="center"/>
        </w:trPr>
        <w:tc>
          <w:tcPr>
            <w:tcW w:w="183" w:type="pct"/>
            <w:tcBorders>
              <w:top w:val="single" w:sz="4" w:space="0" w:color="auto"/>
            </w:tcBorders>
          </w:tcPr>
          <w:p w14:paraId="5C38760B" w14:textId="77777777" w:rsidR="00967792" w:rsidRPr="00A616CA" w:rsidRDefault="00967792" w:rsidP="00B53355">
            <w:pPr>
              <w:pStyle w:val="Tabletext"/>
              <w:rPr>
                <w:lang w:val="es-ES"/>
              </w:rPr>
            </w:pPr>
            <w:r w:rsidRPr="00A616CA">
              <w:rPr>
                <w:lang w:val="es-ES"/>
              </w:rPr>
              <w:lastRenderedPageBreak/>
              <w:t>18</w:t>
            </w:r>
          </w:p>
        </w:tc>
        <w:tc>
          <w:tcPr>
            <w:tcW w:w="434" w:type="pct"/>
            <w:tcBorders>
              <w:top w:val="single" w:sz="4" w:space="0" w:color="auto"/>
            </w:tcBorders>
          </w:tcPr>
          <w:p w14:paraId="7D155A63" w14:textId="77777777" w:rsidR="00967792" w:rsidRPr="00A616CA" w:rsidRDefault="00967792" w:rsidP="00B53355">
            <w:pPr>
              <w:pStyle w:val="Tabletext"/>
              <w:rPr>
                <w:lang w:val="es-ES"/>
              </w:rPr>
            </w:pPr>
            <w:r w:rsidRPr="00A616CA">
              <w:rPr>
                <w:lang w:val="es-ES"/>
              </w:rPr>
              <w:t>CMR-07</w:t>
            </w:r>
          </w:p>
        </w:tc>
        <w:tc>
          <w:tcPr>
            <w:tcW w:w="523" w:type="pct"/>
            <w:tcBorders>
              <w:top w:val="single" w:sz="4" w:space="0" w:color="auto"/>
            </w:tcBorders>
          </w:tcPr>
          <w:p w14:paraId="31E530EE" w14:textId="15AFDE6C" w:rsidR="00967792" w:rsidRPr="00CB3DCE" w:rsidRDefault="00967792" w:rsidP="00B53355">
            <w:pPr>
              <w:pStyle w:val="Tabletext"/>
              <w:rPr>
                <w:rFonts w:asciiTheme="majorBidi" w:hAnsiTheme="majorBidi" w:cstheme="majorBidi"/>
                <w:lang w:val="es-ES"/>
              </w:rPr>
            </w:pPr>
            <w:r w:rsidRPr="00CB3DCE">
              <w:rPr>
                <w:rFonts w:asciiTheme="majorBidi" w:hAnsiTheme="majorBidi" w:cstheme="majorBidi"/>
                <w:lang w:val="es-ES"/>
              </w:rPr>
              <w:t>6ª Plenaria</w:t>
            </w:r>
            <w:r w:rsidR="00CB3DCE" w:rsidRPr="00CB3DCE">
              <w:rPr>
                <w:rFonts w:asciiTheme="majorBidi" w:hAnsiTheme="majorBidi" w:cstheme="majorBidi"/>
                <w:lang w:val="es-ES"/>
              </w:rPr>
              <w:br/>
            </w:r>
            <w:hyperlink r:id="rId65" w:history="1">
              <w:r w:rsidRPr="00CB3DCE">
                <w:rPr>
                  <w:rStyle w:val="Hyperlink"/>
                  <w:rFonts w:asciiTheme="majorBidi" w:hAnsiTheme="majorBidi" w:cstheme="majorBidi"/>
                  <w:lang w:val="es-ES"/>
                </w:rPr>
                <w:t>Doc. 399</w:t>
              </w:r>
            </w:hyperlink>
          </w:p>
        </w:tc>
        <w:tc>
          <w:tcPr>
            <w:tcW w:w="2312" w:type="pct"/>
            <w:tcBorders>
              <w:top w:val="single" w:sz="4" w:space="0" w:color="auto"/>
            </w:tcBorders>
          </w:tcPr>
          <w:p w14:paraId="4092D774" w14:textId="19ECBAFE" w:rsidR="00967792" w:rsidRPr="00CB3DCE" w:rsidRDefault="00967792" w:rsidP="00B53355">
            <w:pPr>
              <w:spacing w:before="40" w:after="40"/>
              <w:rPr>
                <w:sz w:val="22"/>
                <w:lang w:val="es-ES"/>
              </w:rPr>
            </w:pPr>
            <w:r w:rsidRPr="00CB3DCE">
              <w:rPr>
                <w:sz w:val="22"/>
                <w:lang w:val="es-ES"/>
              </w:rPr>
              <w:t>4.4</w:t>
            </w:r>
            <w:r w:rsidRPr="00CB3DCE">
              <w:rPr>
                <w:sz w:val="22"/>
                <w:lang w:val="es-ES"/>
              </w:rPr>
              <w:tab/>
              <w:t xml:space="preserve">El </w:t>
            </w:r>
            <w:r w:rsidRPr="00CB3DCE">
              <w:rPr>
                <w:b/>
                <w:bCs/>
                <w:sz w:val="22"/>
                <w:lang w:val="es-ES"/>
              </w:rPr>
              <w:t>Presidente</w:t>
            </w:r>
            <w:r w:rsidRPr="00CB3DCE">
              <w:rPr>
                <w:sz w:val="22"/>
                <w:lang w:val="es-ES"/>
              </w:rPr>
              <w:t xml:space="preserve"> entiende que las conclusiones de la Comisión son el resultado de debates celebrados entre todas las administraciones interesadas y que han sido objeto de pleno acuerdo. Da las gracias al delegado de la República Islámica del Irán por el papel que ha desempeñado en la obtención del resultado mencionado y propone a la Plenaria que apruebe el </w:t>
            </w:r>
            <w:hyperlink r:id="rId66" w:history="1">
              <w:r w:rsidRPr="00CB3DCE">
                <w:rPr>
                  <w:rStyle w:val="Hyperlink"/>
                  <w:sz w:val="22"/>
                  <w:lang w:val="es-ES"/>
                </w:rPr>
                <w:t>Documento 278</w:t>
              </w:r>
            </w:hyperlink>
            <w:r w:rsidRPr="00CB3DCE">
              <w:rPr>
                <w:sz w:val="22"/>
                <w:lang w:val="es-ES"/>
              </w:rPr>
              <w:t>.</w:t>
            </w:r>
          </w:p>
          <w:p w14:paraId="5C60516F" w14:textId="77777777" w:rsidR="00967792" w:rsidRPr="00CB3DCE" w:rsidRDefault="00967792" w:rsidP="00B53355">
            <w:pPr>
              <w:spacing w:before="40" w:after="40"/>
              <w:rPr>
                <w:sz w:val="22"/>
                <w:lang w:val="es-ES"/>
              </w:rPr>
            </w:pPr>
            <w:r w:rsidRPr="00CB3DCE">
              <w:rPr>
                <w:sz w:val="22"/>
                <w:lang w:val="es-ES"/>
              </w:rPr>
              <w:t>4.5</w:t>
            </w:r>
            <w:r w:rsidRPr="00CB3DCE">
              <w:rPr>
                <w:sz w:val="22"/>
                <w:lang w:val="es-ES"/>
              </w:rPr>
              <w:tab/>
              <w:t xml:space="preserve">Así se </w:t>
            </w:r>
            <w:r w:rsidRPr="00CB3DCE">
              <w:rPr>
                <w:b/>
                <w:bCs/>
                <w:sz w:val="22"/>
                <w:lang w:val="es-ES"/>
              </w:rPr>
              <w:t>acuerda</w:t>
            </w:r>
            <w:r w:rsidRPr="00CB3DCE">
              <w:rPr>
                <w:sz w:val="22"/>
                <w:lang w:val="es-ES"/>
              </w:rPr>
              <w:t>.</w:t>
            </w:r>
          </w:p>
          <w:p w14:paraId="7620F66C" w14:textId="77777777" w:rsidR="00967792" w:rsidRPr="00CB3DCE" w:rsidRDefault="00967792" w:rsidP="00B53355">
            <w:pPr>
              <w:spacing w:before="40" w:after="40"/>
              <w:rPr>
                <w:sz w:val="22"/>
                <w:lang w:val="es-ES"/>
              </w:rPr>
            </w:pPr>
            <w:r w:rsidRPr="00CB3DCE">
              <w:rPr>
                <w:sz w:val="22"/>
                <w:lang w:val="es-ES"/>
              </w:rPr>
              <w:t>4.7</w:t>
            </w:r>
            <w:r w:rsidRPr="00CB3DCE">
              <w:rPr>
                <w:sz w:val="22"/>
                <w:lang w:val="es-ES"/>
              </w:rPr>
              <w:tab/>
              <w:t xml:space="preserve">El </w:t>
            </w:r>
            <w:r w:rsidRPr="00CB3DCE">
              <w:rPr>
                <w:b/>
                <w:bCs/>
                <w:sz w:val="22"/>
                <w:lang w:val="es-ES"/>
              </w:rPr>
              <w:t>Presidente</w:t>
            </w:r>
            <w:r w:rsidRPr="00CB3DCE">
              <w:rPr>
                <w:sz w:val="22"/>
                <w:lang w:val="es-ES"/>
              </w:rPr>
              <w:t xml:space="preserve"> señala que las excepciones aceptadas son objeto de decisiones que no resultan evidentes y que cada una de ellas ha sido objeto de una larga reflexión en la que han participado las administraciones que podrían resultar afectadas. Menciona que este resultado, que no es en modo alguno automático, refleja la cordialidad con la cual transcurre la Conferencia y el espíritu de cooperación de las administraciones presentes.</w:t>
            </w:r>
          </w:p>
        </w:tc>
        <w:tc>
          <w:tcPr>
            <w:tcW w:w="1548" w:type="pct"/>
            <w:tcBorders>
              <w:top w:val="single" w:sz="4" w:space="0" w:color="auto"/>
            </w:tcBorders>
          </w:tcPr>
          <w:p w14:paraId="68D4D792" w14:textId="77777777" w:rsidR="00967792" w:rsidRPr="00266695" w:rsidRDefault="00967792" w:rsidP="00B53355">
            <w:pPr>
              <w:pStyle w:val="Tabletext"/>
              <w:rPr>
                <w:lang w:val="es-ES"/>
              </w:rPr>
            </w:pPr>
          </w:p>
        </w:tc>
      </w:tr>
      <w:tr w:rsidR="00967792" w:rsidRPr="00D2027A" w14:paraId="2C4BE7C8" w14:textId="77777777" w:rsidTr="00924C8B">
        <w:trPr>
          <w:jc w:val="center"/>
        </w:trPr>
        <w:tc>
          <w:tcPr>
            <w:tcW w:w="183" w:type="pct"/>
            <w:tcBorders>
              <w:top w:val="single" w:sz="4" w:space="0" w:color="auto"/>
            </w:tcBorders>
          </w:tcPr>
          <w:p w14:paraId="7CBDE230" w14:textId="77777777" w:rsidR="00967792" w:rsidRPr="00A616CA" w:rsidRDefault="00967792" w:rsidP="00B53355">
            <w:pPr>
              <w:pStyle w:val="Tabletext"/>
              <w:rPr>
                <w:lang w:val="es-ES"/>
              </w:rPr>
            </w:pPr>
          </w:p>
        </w:tc>
        <w:tc>
          <w:tcPr>
            <w:tcW w:w="434" w:type="pct"/>
            <w:tcBorders>
              <w:top w:val="single" w:sz="4" w:space="0" w:color="auto"/>
            </w:tcBorders>
          </w:tcPr>
          <w:p w14:paraId="1B9B3B88" w14:textId="77777777" w:rsidR="00967792" w:rsidRPr="00A616CA" w:rsidRDefault="00967792" w:rsidP="00B53355">
            <w:pPr>
              <w:pStyle w:val="Tabletext"/>
              <w:rPr>
                <w:lang w:val="es-ES"/>
              </w:rPr>
            </w:pPr>
            <w:r w:rsidRPr="00A616CA">
              <w:rPr>
                <w:lang w:val="es-ES"/>
              </w:rPr>
              <w:t>CMR-07</w:t>
            </w:r>
          </w:p>
        </w:tc>
        <w:tc>
          <w:tcPr>
            <w:tcW w:w="523" w:type="pct"/>
            <w:tcBorders>
              <w:top w:val="single" w:sz="4" w:space="0" w:color="auto"/>
            </w:tcBorders>
          </w:tcPr>
          <w:p w14:paraId="2D47A00E" w14:textId="77777777" w:rsidR="00967792" w:rsidRPr="00CB3DCE" w:rsidRDefault="00967792" w:rsidP="00B53355">
            <w:pPr>
              <w:pStyle w:val="Tabletext"/>
              <w:rPr>
                <w:lang w:val="es-ES"/>
              </w:rPr>
            </w:pPr>
          </w:p>
        </w:tc>
        <w:tc>
          <w:tcPr>
            <w:tcW w:w="2312" w:type="pct"/>
            <w:tcBorders>
              <w:top w:val="single" w:sz="4" w:space="0" w:color="auto"/>
            </w:tcBorders>
          </w:tcPr>
          <w:p w14:paraId="2FD41626" w14:textId="77777777" w:rsidR="00967792" w:rsidRPr="00CB3DCE" w:rsidRDefault="00967792" w:rsidP="00B53355">
            <w:pPr>
              <w:spacing w:before="40" w:after="40"/>
              <w:jc w:val="both"/>
              <w:rPr>
                <w:rFonts w:asciiTheme="majorBidi" w:hAnsiTheme="majorBidi" w:cstheme="majorBidi"/>
                <w:b/>
                <w:sz w:val="22"/>
                <w:lang w:val="es-ES"/>
              </w:rPr>
            </w:pPr>
            <w:r w:rsidRPr="00CB3DCE">
              <w:rPr>
                <w:rFonts w:asciiTheme="majorBidi" w:hAnsiTheme="majorBidi" w:cstheme="majorBidi"/>
                <w:b/>
                <w:sz w:val="22"/>
                <w:lang w:val="es-ES"/>
              </w:rPr>
              <w:t>Doc. 278, propuestas convenidas en la 6</w:t>
            </w:r>
            <w:r w:rsidRPr="00CB3DCE">
              <w:rPr>
                <w:rFonts w:asciiTheme="majorBidi" w:hAnsiTheme="majorBidi" w:cstheme="majorBidi"/>
                <w:sz w:val="22"/>
                <w:lang w:val="es-ES"/>
              </w:rPr>
              <w:t>ª</w:t>
            </w:r>
            <w:r w:rsidRPr="00CB3DCE">
              <w:rPr>
                <w:rFonts w:asciiTheme="majorBidi" w:hAnsiTheme="majorBidi" w:cstheme="majorBidi"/>
                <w:b/>
                <w:sz w:val="22"/>
                <w:lang w:val="es-ES"/>
              </w:rPr>
              <w:t xml:space="preserve"> Plenaria:</w:t>
            </w:r>
          </w:p>
          <w:p w14:paraId="76627A35" w14:textId="77777777" w:rsidR="00967792" w:rsidRPr="00CB3DCE" w:rsidRDefault="00967792" w:rsidP="00B53355">
            <w:pPr>
              <w:pStyle w:val="Heading1"/>
              <w:spacing w:before="40" w:after="40"/>
              <w:outlineLvl w:val="0"/>
              <w:rPr>
                <w:sz w:val="22"/>
                <w:u w:val="single"/>
                <w:lang w:val="es-ES"/>
              </w:rPr>
            </w:pPr>
            <w:r w:rsidRPr="00CB3DCE">
              <w:rPr>
                <w:sz w:val="22"/>
                <w:lang w:val="es-ES"/>
              </w:rPr>
              <w:t>Red de satélites VENESAT-1 (antes URUSAT-3)</w:t>
            </w:r>
          </w:p>
          <w:p w14:paraId="3AF72B41" w14:textId="57113747" w:rsidR="00967792" w:rsidRPr="00CB3DCE" w:rsidRDefault="00967792" w:rsidP="00B53355">
            <w:pPr>
              <w:spacing w:before="40" w:after="40"/>
              <w:rPr>
                <w:sz w:val="22"/>
                <w:lang w:val="es-ES"/>
              </w:rPr>
            </w:pPr>
            <w:r w:rsidRPr="00CB3DCE">
              <w:rPr>
                <w:sz w:val="22"/>
                <w:lang w:val="es-ES"/>
              </w:rPr>
              <w:t>Tras examinar todos los aspectos de este caso específico, la Comisión 5 concluyó que debería accederse a la petición de prórroga de la fecha notificada de puesta en servicio de cualquier asignación a la red de satélites VENESAT-1 (78</w:t>
            </w:r>
            <w:r w:rsidR="00CB3DCE">
              <w:rPr>
                <w:rFonts w:cs="Times New Roman"/>
                <w:sz w:val="22"/>
                <w:lang w:val="es-ES"/>
              </w:rPr>
              <w:t>°</w:t>
            </w:r>
            <w:r w:rsidR="00CB3DCE">
              <w:rPr>
                <w:sz w:val="22"/>
                <w:lang w:val="es-ES"/>
              </w:rPr>
              <w:t> W</w:t>
            </w:r>
            <w:r w:rsidRPr="00CB3DCE">
              <w:rPr>
                <w:sz w:val="22"/>
                <w:lang w:val="es-ES"/>
              </w:rPr>
              <w:t xml:space="preserve">) en virtud del número </w:t>
            </w:r>
            <w:r w:rsidRPr="00924C8B">
              <w:rPr>
                <w:b/>
                <w:bCs/>
                <w:sz w:val="22"/>
                <w:lang w:val="es-ES"/>
              </w:rPr>
              <w:t>11.44</w:t>
            </w:r>
            <w:r w:rsidRPr="00CB3DCE">
              <w:rPr>
                <w:sz w:val="22"/>
                <w:lang w:val="es-ES"/>
              </w:rPr>
              <w:t xml:space="preserve"> del RR. En concreto, se entiende que la fecha notificada de puesta en servicio de cualquier asignación a esta red de satélites no deberá ser posterior al 15 de noviembre de 2008.</w:t>
            </w:r>
          </w:p>
          <w:p w14:paraId="37433AF3" w14:textId="77777777" w:rsidR="00967792" w:rsidRPr="00CB3DCE" w:rsidRDefault="00967792" w:rsidP="00B53355">
            <w:pPr>
              <w:pStyle w:val="Heading1"/>
              <w:spacing w:before="40" w:after="40"/>
              <w:outlineLvl w:val="0"/>
              <w:rPr>
                <w:sz w:val="22"/>
                <w:u w:val="single"/>
                <w:lang w:val="es-ES"/>
              </w:rPr>
            </w:pPr>
            <w:r w:rsidRPr="00CB3DCE">
              <w:rPr>
                <w:sz w:val="22"/>
                <w:lang w:val="es-ES"/>
              </w:rPr>
              <w:t>Red de satélites Simón Bolívar 2</w:t>
            </w:r>
          </w:p>
          <w:p w14:paraId="29394A0E" w14:textId="1D88E0E6" w:rsidR="00967792" w:rsidRPr="00CB3DCE" w:rsidRDefault="00967792" w:rsidP="00B53355">
            <w:pPr>
              <w:spacing w:before="40" w:after="40"/>
              <w:rPr>
                <w:sz w:val="22"/>
                <w:lang w:val="es-ES"/>
              </w:rPr>
            </w:pPr>
            <w:r w:rsidRPr="00CB3DCE">
              <w:rPr>
                <w:sz w:val="22"/>
                <w:lang w:val="es-ES"/>
              </w:rPr>
              <w:t>Tras examinar todos los aspectos de este caso específico, la Comisión</w:t>
            </w:r>
            <w:r w:rsidR="00924C8B">
              <w:rPr>
                <w:sz w:val="22"/>
                <w:lang w:val="es-ES"/>
              </w:rPr>
              <w:t> </w:t>
            </w:r>
            <w:r w:rsidRPr="00CB3DCE">
              <w:rPr>
                <w:sz w:val="22"/>
                <w:lang w:val="es-ES"/>
              </w:rPr>
              <w:t>5 concluyó que debería accederse a la petición de prórroga de la fecha en que han de volver a ponerse en servicio las asignaciones a la red de satélites Simón Bolívar 2 (67</w:t>
            </w:r>
            <w:r w:rsidR="00CB3DCE">
              <w:rPr>
                <w:rFonts w:cs="Times New Roman"/>
                <w:sz w:val="22"/>
                <w:lang w:val="es-ES"/>
              </w:rPr>
              <w:t>°</w:t>
            </w:r>
            <w:r w:rsidR="00CB3DCE">
              <w:rPr>
                <w:sz w:val="22"/>
                <w:lang w:val="es-ES"/>
              </w:rPr>
              <w:t> W</w:t>
            </w:r>
            <w:r w:rsidRPr="00CB3DCE">
              <w:rPr>
                <w:sz w:val="22"/>
                <w:lang w:val="es-ES"/>
              </w:rPr>
              <w:t>) suspendidas, en virtud del número </w:t>
            </w:r>
            <w:r w:rsidRPr="00CB3DCE">
              <w:rPr>
                <w:b/>
                <w:bCs/>
                <w:sz w:val="22"/>
                <w:lang w:val="es-ES"/>
              </w:rPr>
              <w:t>11.49</w:t>
            </w:r>
            <w:r w:rsidRPr="00CB3DCE">
              <w:rPr>
                <w:sz w:val="22"/>
                <w:lang w:val="es-ES"/>
              </w:rPr>
              <w:t xml:space="preserve">. En concreto, se entiende que la fecha de nueva </w:t>
            </w:r>
            <w:r w:rsidRPr="00CB3DCE">
              <w:rPr>
                <w:sz w:val="22"/>
                <w:lang w:val="es-ES"/>
              </w:rPr>
              <w:lastRenderedPageBreak/>
              <w:t>restauración del servicio de cualquier asignación a esta red de satélites no deberá ser posterior al 18 de septiembre de 2010.</w:t>
            </w:r>
          </w:p>
          <w:p w14:paraId="15DAC365" w14:textId="77777777" w:rsidR="00967792" w:rsidRPr="00CB3DCE" w:rsidRDefault="00967792" w:rsidP="00B53355">
            <w:pPr>
              <w:pStyle w:val="Heading1"/>
              <w:spacing w:before="40" w:after="40"/>
              <w:ind w:left="0" w:firstLine="0"/>
              <w:outlineLvl w:val="0"/>
              <w:rPr>
                <w:sz w:val="22"/>
                <w:u w:val="single"/>
                <w:lang w:val="es-ES"/>
              </w:rPr>
            </w:pPr>
            <w:r w:rsidRPr="00CB3DCE">
              <w:rPr>
                <w:sz w:val="22"/>
                <w:lang w:val="es-ES"/>
              </w:rPr>
              <w:t>Redes de satélites INDOSTAR-1, PALAPA-C1 y PALAPA</w:t>
            </w:r>
            <w:r w:rsidRPr="00CB3DCE">
              <w:rPr>
                <w:sz w:val="22"/>
                <w:lang w:val="es-ES"/>
              </w:rPr>
              <w:noBreakHyphen/>
              <w:t>C4</w:t>
            </w:r>
          </w:p>
          <w:p w14:paraId="0486B809" w14:textId="38D6022B" w:rsidR="00967792" w:rsidRPr="00CB3DCE" w:rsidRDefault="00967792" w:rsidP="00B53355">
            <w:pPr>
              <w:spacing w:before="40" w:after="40"/>
              <w:rPr>
                <w:sz w:val="22"/>
                <w:lang w:val="es-ES"/>
              </w:rPr>
            </w:pPr>
            <w:r w:rsidRPr="00CB3DCE">
              <w:rPr>
                <w:sz w:val="22"/>
                <w:lang w:val="es-ES"/>
              </w:rPr>
              <w:t>Tras examinar todos los aspectos de este caso específico, la Comisión</w:t>
            </w:r>
            <w:r w:rsidR="00924C8B">
              <w:rPr>
                <w:sz w:val="22"/>
                <w:lang w:val="es-ES"/>
              </w:rPr>
              <w:t> </w:t>
            </w:r>
            <w:r w:rsidRPr="00CB3DCE">
              <w:rPr>
                <w:sz w:val="22"/>
                <w:lang w:val="es-ES"/>
              </w:rPr>
              <w:t>5 concluyó que debería tenerse en cuenta la información de notificación presentada por segunda vez para las redes de satélites INDOSTAR-1 (107,7</w:t>
            </w:r>
            <w:r w:rsidR="00CB3DCE">
              <w:rPr>
                <w:rFonts w:cs="Times New Roman"/>
                <w:sz w:val="22"/>
                <w:lang w:val="es-ES"/>
              </w:rPr>
              <w:t>°</w:t>
            </w:r>
            <w:r w:rsidR="00CB3DCE">
              <w:rPr>
                <w:sz w:val="22"/>
                <w:lang w:val="es-ES"/>
              </w:rPr>
              <w:t> </w:t>
            </w:r>
            <w:r w:rsidRPr="00CB3DCE">
              <w:rPr>
                <w:sz w:val="22"/>
                <w:lang w:val="es-ES"/>
              </w:rPr>
              <w:t>E), PALAPA-C1 (113</w:t>
            </w:r>
            <w:r w:rsidR="00CB3DCE">
              <w:rPr>
                <w:rFonts w:cs="Times New Roman"/>
                <w:sz w:val="22"/>
                <w:lang w:val="es-ES"/>
              </w:rPr>
              <w:t>°</w:t>
            </w:r>
            <w:r w:rsidRPr="00CB3DCE">
              <w:rPr>
                <w:sz w:val="22"/>
                <w:lang w:val="es-ES"/>
              </w:rPr>
              <w:t> E) y PALAPA-C4 (150,5</w:t>
            </w:r>
            <w:r w:rsidR="00CB3DCE">
              <w:rPr>
                <w:rFonts w:cs="Times New Roman"/>
                <w:sz w:val="22"/>
                <w:lang w:val="es-ES"/>
              </w:rPr>
              <w:t>°</w:t>
            </w:r>
            <w:r w:rsidR="00CB3DCE">
              <w:rPr>
                <w:sz w:val="22"/>
                <w:lang w:val="es-ES"/>
              </w:rPr>
              <w:t> </w:t>
            </w:r>
            <w:r w:rsidRPr="00CB3DCE">
              <w:rPr>
                <w:sz w:val="22"/>
                <w:lang w:val="es-ES"/>
              </w:rPr>
              <w:t>E), en virtud del número 11.46. En concreto, se entiende que la información de notificación presentada el 18 de diciembre de 2006 para INDOSTAR-1 (107,7</w:t>
            </w:r>
            <w:r w:rsidR="00CB3DCE">
              <w:rPr>
                <w:rFonts w:cs="Times New Roman"/>
                <w:sz w:val="22"/>
                <w:lang w:val="es-ES"/>
              </w:rPr>
              <w:t>°</w:t>
            </w:r>
            <w:r w:rsidR="00CB3DCE">
              <w:rPr>
                <w:sz w:val="22"/>
                <w:lang w:val="es-ES"/>
              </w:rPr>
              <w:t> </w:t>
            </w:r>
            <w:r w:rsidRPr="00CB3DCE">
              <w:rPr>
                <w:sz w:val="22"/>
                <w:lang w:val="es-ES"/>
              </w:rPr>
              <w:t>E), el 18 de octubre de 2007 para PALAPA-C1 (113</w:t>
            </w:r>
            <w:r w:rsidR="00CB3DCE">
              <w:rPr>
                <w:rFonts w:cs="Times New Roman"/>
                <w:sz w:val="22"/>
                <w:lang w:val="es-ES"/>
              </w:rPr>
              <w:t>°</w:t>
            </w:r>
            <w:r w:rsidR="00CB3DCE">
              <w:rPr>
                <w:sz w:val="22"/>
                <w:lang w:val="es-ES"/>
              </w:rPr>
              <w:t> </w:t>
            </w:r>
            <w:r w:rsidRPr="00CB3DCE">
              <w:rPr>
                <w:sz w:val="22"/>
                <w:lang w:val="es-ES"/>
              </w:rPr>
              <w:t>E) y el 1 de febrero de 2006 para PALAPA-C4 (150,5</w:t>
            </w:r>
            <w:r w:rsidR="00CB3DCE">
              <w:rPr>
                <w:rFonts w:cs="Times New Roman"/>
                <w:sz w:val="22"/>
                <w:lang w:val="es-ES"/>
              </w:rPr>
              <w:t>°</w:t>
            </w:r>
            <w:r w:rsidR="00CB3DCE">
              <w:rPr>
                <w:sz w:val="22"/>
                <w:lang w:val="es-ES"/>
              </w:rPr>
              <w:t> </w:t>
            </w:r>
            <w:r w:rsidRPr="00CB3DCE">
              <w:rPr>
                <w:sz w:val="22"/>
                <w:lang w:val="es-ES"/>
              </w:rPr>
              <w:t xml:space="preserve">E) para la inscripción de las asignaciones a las redes de satélites ha de considerarse como recibida (como notificación en virtud del número </w:t>
            </w:r>
            <w:r w:rsidRPr="00CB3DCE">
              <w:rPr>
                <w:b/>
                <w:bCs/>
                <w:sz w:val="22"/>
                <w:lang w:val="es-ES"/>
              </w:rPr>
              <w:t>11.15</w:t>
            </w:r>
            <w:r w:rsidRPr="00CB3DCE">
              <w:rPr>
                <w:sz w:val="22"/>
                <w:lang w:val="es-ES"/>
              </w:rPr>
              <w:t>) dentro del plazo establecido por el número</w:t>
            </w:r>
            <w:r w:rsidR="00924C8B">
              <w:rPr>
                <w:sz w:val="22"/>
                <w:lang w:val="es-ES"/>
              </w:rPr>
              <w:t> </w:t>
            </w:r>
            <w:r w:rsidRPr="00CB3DCE">
              <w:rPr>
                <w:b/>
                <w:bCs/>
                <w:sz w:val="22"/>
                <w:lang w:val="es-ES"/>
              </w:rPr>
              <w:t>11.44.1</w:t>
            </w:r>
            <w:r w:rsidRPr="00CB3DCE">
              <w:rPr>
                <w:sz w:val="22"/>
                <w:lang w:val="es-ES"/>
              </w:rPr>
              <w:t>.</w:t>
            </w:r>
          </w:p>
        </w:tc>
        <w:tc>
          <w:tcPr>
            <w:tcW w:w="1548" w:type="pct"/>
            <w:tcBorders>
              <w:top w:val="single" w:sz="4" w:space="0" w:color="auto"/>
            </w:tcBorders>
          </w:tcPr>
          <w:p w14:paraId="41C13646" w14:textId="77777777" w:rsidR="00967792" w:rsidRPr="00266695" w:rsidRDefault="00967792" w:rsidP="00B53355">
            <w:pPr>
              <w:pStyle w:val="Tabletext"/>
              <w:rPr>
                <w:lang w:val="es-ES"/>
              </w:rPr>
            </w:pPr>
          </w:p>
        </w:tc>
      </w:tr>
      <w:tr w:rsidR="00967792" w:rsidRPr="00D2027A" w14:paraId="7257B49C" w14:textId="77777777" w:rsidTr="00924C8B">
        <w:trPr>
          <w:jc w:val="center"/>
        </w:trPr>
        <w:tc>
          <w:tcPr>
            <w:tcW w:w="183" w:type="pct"/>
            <w:tcBorders>
              <w:top w:val="single" w:sz="4" w:space="0" w:color="auto"/>
            </w:tcBorders>
          </w:tcPr>
          <w:p w14:paraId="7707C104" w14:textId="77777777" w:rsidR="00967792" w:rsidRPr="00A616CA" w:rsidRDefault="00967792" w:rsidP="00B53355">
            <w:pPr>
              <w:pStyle w:val="Tabletext"/>
              <w:rPr>
                <w:lang w:val="es-ES"/>
              </w:rPr>
            </w:pPr>
          </w:p>
        </w:tc>
        <w:tc>
          <w:tcPr>
            <w:tcW w:w="434" w:type="pct"/>
            <w:tcBorders>
              <w:top w:val="single" w:sz="4" w:space="0" w:color="auto"/>
            </w:tcBorders>
          </w:tcPr>
          <w:p w14:paraId="7F849CBA" w14:textId="77777777" w:rsidR="00967792" w:rsidRPr="00A616CA" w:rsidRDefault="00967792" w:rsidP="00B53355">
            <w:pPr>
              <w:pStyle w:val="Tabletext"/>
              <w:rPr>
                <w:lang w:val="es-ES"/>
              </w:rPr>
            </w:pPr>
          </w:p>
        </w:tc>
        <w:tc>
          <w:tcPr>
            <w:tcW w:w="523" w:type="pct"/>
            <w:tcBorders>
              <w:top w:val="single" w:sz="4" w:space="0" w:color="auto"/>
            </w:tcBorders>
          </w:tcPr>
          <w:p w14:paraId="1D7D8987" w14:textId="77777777" w:rsidR="00967792" w:rsidRPr="00A616CA" w:rsidRDefault="00967792" w:rsidP="00B53355">
            <w:pPr>
              <w:pStyle w:val="Tabletext"/>
              <w:rPr>
                <w:lang w:val="es-ES"/>
              </w:rPr>
            </w:pPr>
          </w:p>
        </w:tc>
        <w:tc>
          <w:tcPr>
            <w:tcW w:w="2312" w:type="pct"/>
            <w:tcBorders>
              <w:top w:val="single" w:sz="4" w:space="0" w:color="auto"/>
            </w:tcBorders>
          </w:tcPr>
          <w:p w14:paraId="7411C08E" w14:textId="77777777" w:rsidR="00967792" w:rsidRPr="00CB3DCE" w:rsidRDefault="00967792" w:rsidP="00B53355">
            <w:pPr>
              <w:pStyle w:val="Heading1"/>
              <w:spacing w:before="40" w:after="40"/>
              <w:outlineLvl w:val="0"/>
              <w:rPr>
                <w:sz w:val="22"/>
                <w:u w:val="single"/>
                <w:lang w:val="es-ES"/>
              </w:rPr>
            </w:pPr>
            <w:r w:rsidRPr="00CB3DCE">
              <w:rPr>
                <w:sz w:val="22"/>
                <w:lang w:val="es-ES"/>
              </w:rPr>
              <w:t>Red de satélites VINASAT-4A2</w:t>
            </w:r>
          </w:p>
          <w:p w14:paraId="507C4CDB" w14:textId="09F588BC" w:rsidR="00967792" w:rsidRPr="00CB3DCE" w:rsidRDefault="00967792" w:rsidP="00B53355">
            <w:pPr>
              <w:spacing w:before="40" w:after="40"/>
              <w:rPr>
                <w:sz w:val="22"/>
                <w:lang w:val="es-ES"/>
              </w:rPr>
            </w:pPr>
            <w:r w:rsidRPr="00CB3DCE">
              <w:rPr>
                <w:sz w:val="22"/>
                <w:lang w:val="es-ES"/>
              </w:rPr>
              <w:t>Tras examinar todos los aspectos de este caso específico, la Comisión 5 no pudo dar su acuerdo a que se acceda a la petición, tal y como se ha formulado, de una posible futura prórroga del plazo de puesta en servicio, en virtud del número 11.44, de las asignaciones notificadas para la red de satélites VINASAT-4A2 (132</w:t>
            </w:r>
            <w:r w:rsidR="00CB3DCE">
              <w:rPr>
                <w:rFonts w:cs="Times New Roman"/>
                <w:sz w:val="22"/>
                <w:lang w:val="es-ES"/>
              </w:rPr>
              <w:t>°</w:t>
            </w:r>
            <w:r w:rsidR="00CB3DCE">
              <w:rPr>
                <w:sz w:val="22"/>
                <w:lang w:val="es-ES"/>
              </w:rPr>
              <w:t> </w:t>
            </w:r>
            <w:r w:rsidRPr="00CB3DCE">
              <w:rPr>
                <w:sz w:val="22"/>
                <w:lang w:val="es-ES"/>
              </w:rPr>
              <w:t>E). La Comisión 5 concluyó que debería, en este caso singular, encargar a la Junta del Reglamento de Radiocomunicaciones que tome las medidas necesarias para que la red de satélites VINASAT-4A2 siga teniéndose en cuenta hasta el 23 de mayo de 2009, en caso de que el lanzamiento se vea retrasado por un segundo satélite que haya de ser lanzado por el mismo vehículo que lanzará la estación espacial VINASAT-4A2, o hasta el 23 de mayo de 2011, si se produce un fallo en el lanzamiento. Las asignaciones a la estación espacial VINASAT-4A2 en cuestión son las que figuran en la Sección Especial RES49/1217 de la BR IFIC 2601 de 21 de agosto de 2007. En este caso, las medidas adoptadas deben, en la medida de lo posible, reducir al mínimo las consecuencias para las administraciones concernidas.</w:t>
            </w:r>
          </w:p>
        </w:tc>
        <w:tc>
          <w:tcPr>
            <w:tcW w:w="1548" w:type="pct"/>
            <w:tcBorders>
              <w:top w:val="single" w:sz="4" w:space="0" w:color="auto"/>
            </w:tcBorders>
          </w:tcPr>
          <w:p w14:paraId="20D04E47" w14:textId="1DF68B98" w:rsidR="00967792" w:rsidRPr="00266695" w:rsidRDefault="00967792" w:rsidP="00B53355">
            <w:pPr>
              <w:pStyle w:val="Tabletext"/>
              <w:rPr>
                <w:lang w:val="es-ES"/>
              </w:rPr>
            </w:pPr>
          </w:p>
        </w:tc>
      </w:tr>
      <w:tr w:rsidR="00CB3DCE" w:rsidRPr="00D2027A" w14:paraId="39707D4A" w14:textId="77777777" w:rsidTr="00924C8B">
        <w:trPr>
          <w:jc w:val="center"/>
        </w:trPr>
        <w:tc>
          <w:tcPr>
            <w:tcW w:w="183" w:type="pct"/>
          </w:tcPr>
          <w:p w14:paraId="3262EBF8" w14:textId="77777777" w:rsidR="00CB3DCE" w:rsidRPr="00A616CA" w:rsidRDefault="00CB3DCE" w:rsidP="00B53355">
            <w:pPr>
              <w:pStyle w:val="Tabletext"/>
              <w:rPr>
                <w:lang w:val="es-ES"/>
              </w:rPr>
            </w:pPr>
          </w:p>
        </w:tc>
        <w:tc>
          <w:tcPr>
            <w:tcW w:w="434" w:type="pct"/>
          </w:tcPr>
          <w:p w14:paraId="18035599" w14:textId="77777777" w:rsidR="00CB3DCE" w:rsidRPr="00A616CA" w:rsidRDefault="00CB3DCE" w:rsidP="00B53355">
            <w:pPr>
              <w:pStyle w:val="Tabletext"/>
              <w:rPr>
                <w:lang w:val="es-ES"/>
              </w:rPr>
            </w:pPr>
          </w:p>
        </w:tc>
        <w:tc>
          <w:tcPr>
            <w:tcW w:w="523" w:type="pct"/>
          </w:tcPr>
          <w:p w14:paraId="52F79384" w14:textId="77777777" w:rsidR="00CB3DCE" w:rsidRPr="00CB3DCE" w:rsidRDefault="00CB3DCE" w:rsidP="00B53355">
            <w:pPr>
              <w:pStyle w:val="Tabletext"/>
              <w:rPr>
                <w:lang w:val="es-ES"/>
              </w:rPr>
            </w:pPr>
          </w:p>
        </w:tc>
        <w:tc>
          <w:tcPr>
            <w:tcW w:w="2312" w:type="pct"/>
          </w:tcPr>
          <w:p w14:paraId="0A0CF90F" w14:textId="77777777" w:rsidR="00CB3DCE" w:rsidRPr="00CB3DCE" w:rsidRDefault="00CB3DCE" w:rsidP="00B53355">
            <w:pPr>
              <w:pStyle w:val="Heading1"/>
              <w:spacing w:before="40" w:after="40"/>
              <w:ind w:left="0" w:firstLine="0"/>
              <w:outlineLvl w:val="0"/>
              <w:rPr>
                <w:sz w:val="22"/>
                <w:lang w:val="es-ES"/>
              </w:rPr>
            </w:pPr>
            <w:r w:rsidRPr="00CB3DCE">
              <w:rPr>
                <w:sz w:val="22"/>
                <w:lang w:val="es-ES"/>
              </w:rPr>
              <w:t>Asignaciones del Plan del SRS y enlaces de conexión de Pakistán</w:t>
            </w:r>
          </w:p>
          <w:p w14:paraId="2EBB65FB" w14:textId="74A8BE16" w:rsidR="00CB3DCE" w:rsidRPr="00CB3DCE" w:rsidRDefault="00CB3DCE" w:rsidP="00B53355">
            <w:pPr>
              <w:spacing w:before="40" w:after="40"/>
              <w:rPr>
                <w:rFonts w:eastAsia="SimSun"/>
                <w:sz w:val="22"/>
                <w:lang w:val="es-ES" w:eastAsia="zh-CN"/>
              </w:rPr>
            </w:pPr>
            <w:r w:rsidRPr="00CB3DCE">
              <w:rPr>
                <w:sz w:val="22"/>
                <w:lang w:val="es-ES"/>
              </w:rPr>
              <w:t>Tras examinar todos los aspectos de este caso específico, la Comisión 5 concluyó que debería accederse a la petición de decisión provisional sobre el traslado de las asignaciones del Plan del SFS y enlaces de conexión asociados de Pakistán de 38,2</w:t>
            </w:r>
            <w:r>
              <w:rPr>
                <w:rFonts w:cs="Times New Roman"/>
                <w:sz w:val="22"/>
                <w:lang w:val="es-ES"/>
              </w:rPr>
              <w:t>°</w:t>
            </w:r>
            <w:r>
              <w:rPr>
                <w:sz w:val="22"/>
                <w:lang w:val="es-ES"/>
              </w:rPr>
              <w:t> </w:t>
            </w:r>
            <w:r w:rsidRPr="00CB3DCE">
              <w:rPr>
                <w:sz w:val="22"/>
                <w:lang w:val="es-ES"/>
              </w:rPr>
              <w:t>E a 38</w:t>
            </w:r>
            <w:r>
              <w:rPr>
                <w:rFonts w:cs="Times New Roman"/>
                <w:sz w:val="22"/>
                <w:lang w:val="es-ES"/>
              </w:rPr>
              <w:t>°</w:t>
            </w:r>
            <w:r>
              <w:rPr>
                <w:sz w:val="22"/>
                <w:lang w:val="es-ES"/>
              </w:rPr>
              <w:t> </w:t>
            </w:r>
            <w:r w:rsidRPr="00CB3DCE">
              <w:rPr>
                <w:sz w:val="22"/>
                <w:lang w:val="es-ES"/>
              </w:rPr>
              <w:t>E. En concreto, se entiende que se ha de autorizar a la Junta del Reglamento de Radiocomunicaciones (RRB) a sustituir las asignaciones del Plan de Pakistán por las asignaciones de la Lista, derivadas de las publicadas en las Secciones Especiales</w:t>
            </w:r>
            <w:r w:rsidRPr="00CB3DCE">
              <w:rPr>
                <w:rFonts w:eastAsia="SimSun"/>
                <w:sz w:val="22"/>
                <w:lang w:val="es-ES" w:eastAsia="zh-CN"/>
              </w:rPr>
              <w:t xml:space="preserve"> </w:t>
            </w:r>
            <w:r w:rsidRPr="00CB3DCE">
              <w:rPr>
                <w:rFonts w:eastAsia="SimSun"/>
                <w:b/>
                <w:bCs/>
                <w:sz w:val="22"/>
                <w:lang w:val="es-ES" w:eastAsia="zh-CN"/>
              </w:rPr>
              <w:t>AP30</w:t>
            </w:r>
            <w:r w:rsidRPr="00CB3DCE">
              <w:rPr>
                <w:rFonts w:eastAsia="SimSun"/>
                <w:sz w:val="22"/>
                <w:lang w:val="es-ES" w:eastAsia="zh-CN"/>
              </w:rPr>
              <w:t>/</w:t>
            </w:r>
            <w:r w:rsidRPr="00CB3DCE">
              <w:rPr>
                <w:rFonts w:eastAsia="SimSun"/>
                <w:b/>
                <w:bCs/>
                <w:sz w:val="22"/>
                <w:lang w:val="es-ES" w:eastAsia="zh-CN"/>
              </w:rPr>
              <w:t>E/441</w:t>
            </w:r>
            <w:r w:rsidRPr="00CB3DCE">
              <w:rPr>
                <w:rFonts w:eastAsia="SimSun"/>
                <w:sz w:val="22"/>
                <w:lang w:val="es-ES" w:eastAsia="zh-CN"/>
              </w:rPr>
              <w:t xml:space="preserve"> y </w:t>
            </w:r>
            <w:r w:rsidRPr="00CB3DCE">
              <w:rPr>
                <w:rFonts w:eastAsia="SimSun"/>
                <w:b/>
                <w:bCs/>
                <w:sz w:val="22"/>
                <w:lang w:val="es-ES" w:eastAsia="zh-CN"/>
              </w:rPr>
              <w:t>AP30A</w:t>
            </w:r>
            <w:r w:rsidRPr="00CB3DCE">
              <w:rPr>
                <w:rFonts w:eastAsia="SimSun"/>
                <w:sz w:val="22"/>
                <w:lang w:val="es-ES" w:eastAsia="zh-CN"/>
              </w:rPr>
              <w:t>/</w:t>
            </w:r>
            <w:r w:rsidRPr="00CB3DCE">
              <w:rPr>
                <w:rFonts w:eastAsia="SimSun"/>
                <w:b/>
                <w:bCs/>
                <w:sz w:val="22"/>
                <w:lang w:val="es-ES" w:eastAsia="zh-CN"/>
              </w:rPr>
              <w:t>E</w:t>
            </w:r>
            <w:r w:rsidRPr="00CB3DCE">
              <w:rPr>
                <w:rFonts w:eastAsia="SimSun"/>
                <w:sz w:val="22"/>
                <w:lang w:val="es-ES" w:eastAsia="zh-CN"/>
              </w:rPr>
              <w:t>/</w:t>
            </w:r>
            <w:r w:rsidRPr="00CB3DCE">
              <w:rPr>
                <w:rFonts w:eastAsia="SimSun"/>
                <w:b/>
                <w:bCs/>
                <w:sz w:val="22"/>
                <w:lang w:val="es-ES" w:eastAsia="zh-CN"/>
              </w:rPr>
              <w:t>441</w:t>
            </w:r>
            <w:r w:rsidRPr="00CB3DCE">
              <w:rPr>
                <w:rFonts w:eastAsia="SimSun"/>
                <w:sz w:val="22"/>
                <w:lang w:val="es-ES" w:eastAsia="zh-CN"/>
              </w:rPr>
              <w:t xml:space="preserve"> de la BR IFIC 2604 de 2 de octubre de 2007, siempre y cuando se cumplan las siguientes condiciones:</w:t>
            </w:r>
          </w:p>
          <w:p w14:paraId="66440FA2" w14:textId="77777777" w:rsidR="00CB3DCE" w:rsidRPr="00CB3DCE" w:rsidRDefault="00CB3DCE" w:rsidP="00B53355">
            <w:pPr>
              <w:pStyle w:val="enumlev1"/>
              <w:spacing w:before="40" w:after="40"/>
              <w:rPr>
                <w:rFonts w:eastAsia="SimSun"/>
                <w:sz w:val="22"/>
                <w:lang w:val="es-ES"/>
              </w:rPr>
            </w:pPr>
            <w:r w:rsidRPr="00CB3DCE">
              <w:rPr>
                <w:rFonts w:eastAsia="SimSun"/>
                <w:sz w:val="22"/>
                <w:lang w:val="es-ES" w:eastAsia="zh-CN"/>
              </w:rPr>
              <w:t>–</w:t>
            </w:r>
            <w:r w:rsidRPr="00CB3DCE">
              <w:rPr>
                <w:rFonts w:eastAsia="SimSun"/>
                <w:sz w:val="22"/>
                <w:lang w:val="es-ES" w:eastAsia="zh-CN"/>
              </w:rPr>
              <w:tab/>
              <w:t xml:space="preserve">que se complete satisfactoriamente el procedimiento del Artículo </w:t>
            </w:r>
            <w:r w:rsidRPr="00924C8B">
              <w:rPr>
                <w:rFonts w:eastAsia="SimSun"/>
                <w:b/>
                <w:bCs/>
                <w:sz w:val="22"/>
                <w:lang w:val="es-ES" w:eastAsia="zh-CN"/>
              </w:rPr>
              <w:t>4</w:t>
            </w:r>
            <w:r w:rsidRPr="00CB3DCE">
              <w:rPr>
                <w:rFonts w:eastAsia="SimSun"/>
                <w:sz w:val="22"/>
                <w:lang w:val="es-ES" w:eastAsia="zh-CN"/>
              </w:rPr>
              <w:t xml:space="preserve"> y se obtengan todos </w:t>
            </w:r>
            <w:r w:rsidRPr="00CB3DCE">
              <w:rPr>
                <w:rFonts w:eastAsia="SimSun"/>
                <w:sz w:val="22"/>
                <w:lang w:val="es-ES"/>
              </w:rPr>
              <w:t>los acuerdos de coordinación antes de que se celebre la próxima Conferencia competente; y</w:t>
            </w:r>
          </w:p>
          <w:p w14:paraId="7EE30CFC" w14:textId="5C1899F2" w:rsidR="00CB3DCE" w:rsidRPr="00CB3DCE" w:rsidRDefault="00CB3DCE" w:rsidP="00B53355">
            <w:pPr>
              <w:pStyle w:val="enumlev1"/>
              <w:spacing w:before="40" w:after="40"/>
              <w:rPr>
                <w:sz w:val="22"/>
                <w:lang w:val="es-ES"/>
              </w:rPr>
            </w:pPr>
            <w:r w:rsidRPr="00CB3DCE">
              <w:rPr>
                <w:sz w:val="22"/>
                <w:lang w:val="es-ES"/>
              </w:rPr>
              <w:t>–</w:t>
            </w:r>
            <w:r w:rsidRPr="00CB3DCE">
              <w:rPr>
                <w:rFonts w:eastAsia="SimSun"/>
                <w:sz w:val="22"/>
                <w:lang w:val="es-ES"/>
              </w:rPr>
              <w:tab/>
              <w:t xml:space="preserve">que las características de las asignaciones sean idénticas a las de las actuales </w:t>
            </w:r>
            <w:r w:rsidRPr="00CB3DCE">
              <w:rPr>
                <w:rFonts w:eastAsia="SimSun"/>
                <w:sz w:val="22"/>
                <w:lang w:val="es-ES" w:eastAsia="zh-CN"/>
              </w:rPr>
              <w:t>asignaciones</w:t>
            </w:r>
            <w:r w:rsidRPr="00CB3DCE">
              <w:rPr>
                <w:rFonts w:eastAsia="SimSun"/>
                <w:sz w:val="22"/>
                <w:lang w:val="es-ES"/>
              </w:rPr>
              <w:t xml:space="preserve"> del Plan de Pakistán, a excepción de la posición orbital (entre otras, 12 canales en la Región 3 so</w:t>
            </w:r>
            <w:r w:rsidRPr="00CB3DCE">
              <w:rPr>
                <w:rFonts w:eastAsia="SimSun"/>
                <w:sz w:val="22"/>
                <w:lang w:val="es-ES" w:eastAsia="zh-CN"/>
              </w:rPr>
              <w:t>bre el territorio nacional).</w:t>
            </w:r>
          </w:p>
        </w:tc>
        <w:tc>
          <w:tcPr>
            <w:tcW w:w="1548" w:type="pct"/>
          </w:tcPr>
          <w:p w14:paraId="67761E2C" w14:textId="77777777" w:rsidR="00CB3DCE" w:rsidRPr="00266695" w:rsidRDefault="00CB3DCE" w:rsidP="00B53355">
            <w:pPr>
              <w:pStyle w:val="Tabletext"/>
              <w:rPr>
                <w:lang w:val="es-ES"/>
              </w:rPr>
            </w:pPr>
          </w:p>
        </w:tc>
      </w:tr>
      <w:tr w:rsidR="00967792" w:rsidRPr="00D2027A" w14:paraId="236645F9" w14:textId="77777777" w:rsidTr="00924C8B">
        <w:trPr>
          <w:jc w:val="center"/>
        </w:trPr>
        <w:tc>
          <w:tcPr>
            <w:tcW w:w="183" w:type="pct"/>
          </w:tcPr>
          <w:p w14:paraId="29B8C091" w14:textId="77777777" w:rsidR="00967792" w:rsidRPr="00A616CA" w:rsidRDefault="00967792" w:rsidP="00B53355">
            <w:pPr>
              <w:pStyle w:val="Tabletext"/>
              <w:rPr>
                <w:lang w:val="es-ES"/>
              </w:rPr>
            </w:pPr>
            <w:r w:rsidRPr="00A616CA">
              <w:rPr>
                <w:lang w:val="es-ES"/>
              </w:rPr>
              <w:t>19</w:t>
            </w:r>
          </w:p>
        </w:tc>
        <w:tc>
          <w:tcPr>
            <w:tcW w:w="434" w:type="pct"/>
          </w:tcPr>
          <w:p w14:paraId="2FC04E86" w14:textId="77777777" w:rsidR="00967792" w:rsidRPr="00A616CA" w:rsidRDefault="00967792" w:rsidP="00B53355">
            <w:pPr>
              <w:pStyle w:val="Tabletext"/>
              <w:rPr>
                <w:lang w:val="es-ES"/>
              </w:rPr>
            </w:pPr>
            <w:r w:rsidRPr="00A616CA">
              <w:rPr>
                <w:lang w:val="es-ES"/>
              </w:rPr>
              <w:t>CMR-07</w:t>
            </w:r>
          </w:p>
        </w:tc>
        <w:tc>
          <w:tcPr>
            <w:tcW w:w="523" w:type="pct"/>
          </w:tcPr>
          <w:p w14:paraId="7EB74542" w14:textId="01D3BD3B" w:rsidR="00967792" w:rsidRPr="00CB3DCE" w:rsidRDefault="00967792" w:rsidP="00B53355">
            <w:pPr>
              <w:pStyle w:val="Tabletext"/>
              <w:rPr>
                <w:rFonts w:asciiTheme="majorBidi" w:hAnsiTheme="majorBidi" w:cstheme="majorBidi"/>
                <w:lang w:val="es-ES"/>
              </w:rPr>
            </w:pPr>
            <w:r w:rsidRPr="00CB3DCE">
              <w:rPr>
                <w:lang w:val="es-ES"/>
              </w:rPr>
              <w:t>9ª</w:t>
            </w:r>
            <w:r w:rsidRPr="00CB3DCE">
              <w:rPr>
                <w:rFonts w:asciiTheme="majorBidi" w:hAnsiTheme="majorBidi" w:cstheme="majorBidi"/>
                <w:lang w:val="es-ES"/>
              </w:rPr>
              <w:t xml:space="preserve"> Plenaria</w:t>
            </w:r>
            <w:r w:rsidR="00CB3DCE" w:rsidRPr="00CB3DCE">
              <w:rPr>
                <w:rFonts w:asciiTheme="majorBidi" w:hAnsiTheme="majorBidi" w:cstheme="majorBidi"/>
                <w:lang w:val="es-ES"/>
              </w:rPr>
              <w:br/>
            </w:r>
            <w:hyperlink r:id="rId67" w:history="1">
              <w:r w:rsidRPr="00CB3DCE">
                <w:rPr>
                  <w:rStyle w:val="Hyperlink"/>
                  <w:rFonts w:asciiTheme="majorBidi" w:hAnsiTheme="majorBidi" w:cstheme="majorBidi"/>
                  <w:bCs/>
                  <w:lang w:val="es-ES"/>
                </w:rPr>
                <w:t xml:space="preserve">Doc. </w:t>
              </w:r>
              <w:r w:rsidRPr="00CB3DCE">
                <w:rPr>
                  <w:rStyle w:val="Hyperlink"/>
                  <w:rFonts w:asciiTheme="majorBidi" w:hAnsiTheme="majorBidi" w:cstheme="majorBidi"/>
                  <w:lang w:val="es-ES"/>
                </w:rPr>
                <w:t>431</w:t>
              </w:r>
            </w:hyperlink>
          </w:p>
        </w:tc>
        <w:tc>
          <w:tcPr>
            <w:tcW w:w="2312" w:type="pct"/>
          </w:tcPr>
          <w:p w14:paraId="57E8F208" w14:textId="77777777" w:rsidR="00967792" w:rsidRPr="00CB3DCE" w:rsidRDefault="00967792" w:rsidP="00B53355">
            <w:pPr>
              <w:spacing w:before="40" w:after="40"/>
              <w:rPr>
                <w:sz w:val="22"/>
                <w:lang w:val="es-ES"/>
              </w:rPr>
            </w:pPr>
            <w:r w:rsidRPr="00CB3DCE">
              <w:rPr>
                <w:sz w:val="22"/>
                <w:lang w:val="es-ES"/>
              </w:rPr>
              <w:t>1.1</w:t>
            </w:r>
            <w:r w:rsidRPr="00CB3DCE">
              <w:rPr>
                <w:sz w:val="22"/>
                <w:lang w:val="es-ES"/>
              </w:rPr>
              <w:tab/>
              <w:t xml:space="preserve">El </w:t>
            </w:r>
            <w:r w:rsidRPr="00CB3DCE">
              <w:rPr>
                <w:b/>
                <w:sz w:val="22"/>
                <w:lang w:val="es-ES"/>
              </w:rPr>
              <w:t xml:space="preserve">Presidente </w:t>
            </w:r>
            <w:r w:rsidRPr="00CB3DCE">
              <w:rPr>
                <w:sz w:val="22"/>
                <w:lang w:val="es-ES"/>
              </w:rPr>
              <w:t xml:space="preserve">formula la siguiente declaración: </w:t>
            </w:r>
          </w:p>
          <w:p w14:paraId="1E99FCE4" w14:textId="77777777" w:rsidR="00967792" w:rsidRPr="00CB3DCE" w:rsidRDefault="00967792" w:rsidP="00B53355">
            <w:pPr>
              <w:pStyle w:val="enumlev1"/>
              <w:spacing w:before="40" w:after="40"/>
              <w:rPr>
                <w:sz w:val="22"/>
                <w:lang w:val="es-ES"/>
              </w:rPr>
            </w:pPr>
            <w:r w:rsidRPr="00CB3DCE">
              <w:rPr>
                <w:sz w:val="22"/>
                <w:lang w:val="es-ES"/>
              </w:rPr>
              <w:tab/>
              <w:t>«Tengo el honor de anunciarles que, bajo mis auspicios, el Estado de Israel y la Autoridad de Palestina han acordado reiniciar las negociaciones sobre telecomunicaciones, incluidas las relativas al espectro, mediante la celebración de reuniones del Comité Técnico Mixto a partir del 29 de noviembre de 2007, con el objetivo de establecer, antes del 31 de diciembre de 2007, un calendario de liberación de espectro para la Autoridad de Palestina.</w:t>
            </w:r>
          </w:p>
          <w:p w14:paraId="14878475" w14:textId="77777777" w:rsidR="00967792" w:rsidRPr="00CB3DCE" w:rsidRDefault="00967792" w:rsidP="00B53355">
            <w:pPr>
              <w:pStyle w:val="enumlev1"/>
              <w:spacing w:before="40" w:after="40"/>
              <w:rPr>
                <w:sz w:val="22"/>
                <w:lang w:val="es-ES"/>
              </w:rPr>
            </w:pPr>
            <w:r w:rsidRPr="00CB3DCE">
              <w:rPr>
                <w:sz w:val="22"/>
                <w:lang w:val="es-ES"/>
              </w:rPr>
              <w:tab/>
              <w:t>Por otra parte, tengo el placer de informar a la Plenaria de las siguientes medidas:</w:t>
            </w:r>
          </w:p>
          <w:p w14:paraId="2DF136E0" w14:textId="79CDD2E2" w:rsidR="00967792" w:rsidRPr="00CB3DCE" w:rsidRDefault="00967792" w:rsidP="00B53355">
            <w:pPr>
              <w:pStyle w:val="enumlev2"/>
              <w:spacing w:before="40" w:after="40"/>
              <w:rPr>
                <w:sz w:val="22"/>
                <w:lang w:val="es-ES"/>
              </w:rPr>
            </w:pPr>
            <w:r w:rsidRPr="00CB3DCE">
              <w:rPr>
                <w:sz w:val="22"/>
                <w:lang w:val="es-ES"/>
              </w:rPr>
              <w:t>1)</w:t>
            </w:r>
            <w:r w:rsidRPr="00CB3DCE">
              <w:rPr>
                <w:sz w:val="22"/>
                <w:lang w:val="es-ES"/>
              </w:rPr>
              <w:tab/>
              <w:t xml:space="preserve">Se incluirá una nota </w:t>
            </w:r>
            <w:r w:rsidRPr="00CB3DCE">
              <w:rPr>
                <w:sz w:val="22"/>
                <w:vertAlign w:val="superscript"/>
                <w:lang w:val="es-ES"/>
              </w:rPr>
              <w:t>(a)</w:t>
            </w:r>
            <w:r w:rsidRPr="00CB3DCE">
              <w:rPr>
                <w:sz w:val="22"/>
                <w:lang w:val="es-ES"/>
              </w:rPr>
              <w:t xml:space="preserve"> en los procedimientos del Apéndice</w:t>
            </w:r>
            <w:r w:rsidR="00CB3DCE">
              <w:rPr>
                <w:sz w:val="22"/>
                <w:lang w:val="es-ES"/>
              </w:rPr>
              <w:t> </w:t>
            </w:r>
            <w:r w:rsidRPr="00CB3DCE">
              <w:rPr>
                <w:b/>
                <w:bCs/>
                <w:sz w:val="22"/>
                <w:lang w:val="es-ES"/>
              </w:rPr>
              <w:t>30B</w:t>
            </w:r>
            <w:r w:rsidRPr="00CB3DCE">
              <w:rPr>
                <w:sz w:val="22"/>
                <w:lang w:val="es-ES"/>
              </w:rPr>
              <w:t xml:space="preserve">, en la que se indicará que Palestina puede aplicar dichos procedimientos para obtener asignaciones o una adjudicación en el Plan del Apéndice </w:t>
            </w:r>
            <w:r w:rsidRPr="00CB3DCE">
              <w:rPr>
                <w:b/>
                <w:bCs/>
                <w:sz w:val="22"/>
                <w:lang w:val="es-ES"/>
              </w:rPr>
              <w:t>30B</w:t>
            </w:r>
            <w:r w:rsidRPr="00CB3DCE">
              <w:rPr>
                <w:sz w:val="22"/>
                <w:lang w:val="es-ES"/>
              </w:rPr>
              <w:t>.</w:t>
            </w:r>
          </w:p>
          <w:p w14:paraId="19D2F5F6" w14:textId="77777777" w:rsidR="00967792" w:rsidRPr="00CB3DCE" w:rsidRDefault="00967792" w:rsidP="00B53355">
            <w:pPr>
              <w:pStyle w:val="enumlev2"/>
              <w:spacing w:before="40" w:after="40"/>
              <w:rPr>
                <w:sz w:val="22"/>
                <w:lang w:val="es-ES"/>
              </w:rPr>
            </w:pPr>
            <w:r w:rsidRPr="00CB3DCE">
              <w:rPr>
                <w:sz w:val="22"/>
                <w:lang w:val="es-ES"/>
              </w:rPr>
              <w:lastRenderedPageBreak/>
              <w:t>2)</w:t>
            </w:r>
            <w:r w:rsidRPr="00CB3DCE">
              <w:rPr>
                <w:sz w:val="22"/>
                <w:lang w:val="es-ES"/>
              </w:rPr>
              <w:tab/>
              <w:t>La Plenaria solicitará al Director de la Oficina que prosiga prestando asistencia a la Autoridad de Palestina, con arreglo a las anteriores Resoluciones de la UIT pertinentes.</w:t>
            </w:r>
          </w:p>
          <w:p w14:paraId="4D3295E3" w14:textId="4F695EB3" w:rsidR="00967792" w:rsidRPr="00CB3DCE" w:rsidRDefault="00967792" w:rsidP="00B53355">
            <w:pPr>
              <w:pStyle w:val="enumlev2"/>
              <w:spacing w:before="40" w:after="40"/>
              <w:rPr>
                <w:sz w:val="22"/>
                <w:lang w:val="es-ES"/>
              </w:rPr>
            </w:pPr>
            <w:r w:rsidRPr="00CB3DCE">
              <w:rPr>
                <w:sz w:val="22"/>
                <w:lang w:val="es-ES"/>
              </w:rPr>
              <w:t>3)</w:t>
            </w:r>
            <w:r w:rsidRPr="00CB3DCE">
              <w:rPr>
                <w:sz w:val="22"/>
                <w:lang w:val="es-ES"/>
              </w:rPr>
              <w:tab/>
              <w:t xml:space="preserve">Que, como resultado de lo anterior, ya no es necesario examinar el </w:t>
            </w:r>
            <w:hyperlink r:id="rId68" w:history="1">
              <w:r w:rsidRPr="00CB3DCE">
                <w:rPr>
                  <w:rStyle w:val="Hyperlink"/>
                  <w:sz w:val="22"/>
                  <w:lang w:val="es-ES"/>
                </w:rPr>
                <w:t>Documento 118</w:t>
              </w:r>
            </w:hyperlink>
            <w:r w:rsidRPr="00CB3DCE">
              <w:rPr>
                <w:sz w:val="22"/>
                <w:lang w:val="es-ES"/>
              </w:rPr>
              <w:t>.</w:t>
            </w:r>
          </w:p>
          <w:p w14:paraId="28AD1629" w14:textId="77777777" w:rsidR="00967792" w:rsidRPr="00CB3DCE" w:rsidRDefault="00967792" w:rsidP="00B53355">
            <w:pPr>
              <w:spacing w:before="40" w:after="40"/>
              <w:rPr>
                <w:sz w:val="22"/>
                <w:lang w:val="es-ES"/>
              </w:rPr>
            </w:pPr>
            <w:r w:rsidRPr="00CB3DCE">
              <w:rPr>
                <w:sz w:val="22"/>
                <w:lang w:val="es-ES"/>
              </w:rPr>
              <w:t>Ambas partes han manifestado su acuerdo con estas medidas sin reservas.</w:t>
            </w:r>
          </w:p>
          <w:p w14:paraId="1337DD91" w14:textId="77777777" w:rsidR="00967792" w:rsidRPr="00CB3DCE" w:rsidRDefault="00967792" w:rsidP="00B53355">
            <w:pPr>
              <w:pStyle w:val="Normalaftertitle0"/>
              <w:spacing w:before="40" w:after="40"/>
              <w:rPr>
                <w:sz w:val="22"/>
                <w:lang w:val="es-ES"/>
              </w:rPr>
            </w:pPr>
            <w:r w:rsidRPr="00CB3DCE">
              <w:rPr>
                <w:sz w:val="22"/>
                <w:vertAlign w:val="superscript"/>
                <w:lang w:val="es-ES"/>
              </w:rPr>
              <w:t>(a)</w:t>
            </w:r>
            <w:r w:rsidRPr="00CB3DCE">
              <w:rPr>
                <w:sz w:val="22"/>
                <w:lang w:val="es-ES"/>
              </w:rPr>
              <w:t xml:space="preserve"> Esta nota se añadirá junto a la palabra «país» en ADD 6.35 y MOD 7.1 del Apéndice </w:t>
            </w:r>
            <w:r w:rsidRPr="00A21E7D">
              <w:rPr>
                <w:b/>
                <w:bCs/>
                <w:sz w:val="22"/>
                <w:lang w:val="es-ES"/>
              </w:rPr>
              <w:t>30B (Rev.CMR-07)</w:t>
            </w:r>
            <w:r w:rsidRPr="00CB3DCE">
              <w:rPr>
                <w:sz w:val="22"/>
                <w:lang w:val="es-ES"/>
              </w:rPr>
              <w:t xml:space="preserve"> y rezará así:</w:t>
            </w:r>
          </w:p>
          <w:p w14:paraId="613BBFC4" w14:textId="77777777" w:rsidR="00967792" w:rsidRPr="00CB3DCE" w:rsidRDefault="00967792" w:rsidP="00B53355">
            <w:pPr>
              <w:spacing w:before="40" w:after="40"/>
              <w:rPr>
                <w:sz w:val="22"/>
                <w:lang w:val="es-ES"/>
              </w:rPr>
            </w:pPr>
            <w:r w:rsidRPr="00CB3DCE">
              <w:rPr>
                <w:sz w:val="22"/>
                <w:lang w:val="es-ES"/>
              </w:rPr>
              <w:t>1.2</w:t>
            </w:r>
            <w:r w:rsidRPr="00CB3DCE">
              <w:rPr>
                <w:sz w:val="22"/>
                <w:lang w:val="es-ES"/>
              </w:rPr>
              <w:tab/>
              <w:t>El Presidente invita a la reunión a refrendar su declaración en una decisión de la Plenaria, sin reservas.</w:t>
            </w:r>
          </w:p>
          <w:p w14:paraId="4C38B5F8" w14:textId="77777777" w:rsidR="00967792" w:rsidRPr="00CB3DCE" w:rsidRDefault="00967792" w:rsidP="00B53355">
            <w:pPr>
              <w:spacing w:before="40" w:after="40"/>
              <w:rPr>
                <w:sz w:val="22"/>
                <w:lang w:val="es-ES"/>
              </w:rPr>
            </w:pPr>
            <w:r w:rsidRPr="00CB3DCE">
              <w:rPr>
                <w:sz w:val="22"/>
                <w:lang w:val="es-ES"/>
              </w:rPr>
              <w:t>1.3</w:t>
            </w:r>
            <w:r w:rsidRPr="00CB3DCE">
              <w:rPr>
                <w:sz w:val="22"/>
                <w:lang w:val="es-ES"/>
              </w:rPr>
              <w:tab/>
              <w:t xml:space="preserve">Así se </w:t>
            </w:r>
            <w:r w:rsidRPr="00CB3DCE">
              <w:rPr>
                <w:b/>
                <w:sz w:val="22"/>
                <w:lang w:val="es-ES"/>
              </w:rPr>
              <w:t>acuerda</w:t>
            </w:r>
            <w:r w:rsidRPr="00CB3DCE">
              <w:rPr>
                <w:sz w:val="22"/>
                <w:lang w:val="es-ES"/>
              </w:rPr>
              <w:t>.</w:t>
            </w:r>
          </w:p>
        </w:tc>
        <w:tc>
          <w:tcPr>
            <w:tcW w:w="1548" w:type="pct"/>
          </w:tcPr>
          <w:p w14:paraId="27DB4EAF" w14:textId="299C8CC8" w:rsidR="00967792" w:rsidRPr="00266695" w:rsidRDefault="00967792" w:rsidP="00B53355">
            <w:pPr>
              <w:pStyle w:val="Tabletext"/>
              <w:rPr>
                <w:lang w:val="es-ES"/>
              </w:rPr>
            </w:pPr>
            <w:r w:rsidRPr="00266695">
              <w:rPr>
                <w:lang w:val="es-ES"/>
              </w:rPr>
              <w:lastRenderedPageBreak/>
              <w:t>La CMR-07 aprobó las disposiciones a las que se adjuntó la nota.</w:t>
            </w:r>
          </w:p>
        </w:tc>
      </w:tr>
      <w:tr w:rsidR="00A21E7D" w:rsidRPr="00D2027A" w14:paraId="146255B7" w14:textId="77777777" w:rsidTr="00924C8B">
        <w:trPr>
          <w:jc w:val="center"/>
        </w:trPr>
        <w:tc>
          <w:tcPr>
            <w:tcW w:w="183" w:type="pct"/>
            <w:tcBorders>
              <w:top w:val="single" w:sz="4" w:space="0" w:color="auto"/>
            </w:tcBorders>
          </w:tcPr>
          <w:p w14:paraId="2597365A" w14:textId="77777777" w:rsidR="00A21E7D" w:rsidRPr="00A616CA" w:rsidRDefault="00A21E7D" w:rsidP="00B53355">
            <w:pPr>
              <w:pStyle w:val="Tabletext"/>
              <w:rPr>
                <w:lang w:val="es-ES"/>
              </w:rPr>
            </w:pPr>
            <w:r w:rsidRPr="00A616CA">
              <w:rPr>
                <w:lang w:val="es-ES"/>
              </w:rPr>
              <w:t>20</w:t>
            </w:r>
          </w:p>
        </w:tc>
        <w:tc>
          <w:tcPr>
            <w:tcW w:w="434" w:type="pct"/>
            <w:tcBorders>
              <w:top w:val="single" w:sz="4" w:space="0" w:color="auto"/>
            </w:tcBorders>
          </w:tcPr>
          <w:p w14:paraId="350CECD1" w14:textId="77777777" w:rsidR="00A21E7D" w:rsidRPr="00A616CA" w:rsidRDefault="00A21E7D" w:rsidP="00B53355">
            <w:pPr>
              <w:pStyle w:val="Tabletext"/>
              <w:rPr>
                <w:lang w:val="es-ES"/>
              </w:rPr>
            </w:pPr>
            <w:r w:rsidRPr="00A616CA">
              <w:rPr>
                <w:lang w:val="es-ES"/>
              </w:rPr>
              <w:t>CMR-07</w:t>
            </w:r>
          </w:p>
        </w:tc>
        <w:tc>
          <w:tcPr>
            <w:tcW w:w="523" w:type="pct"/>
            <w:tcBorders>
              <w:top w:val="single" w:sz="4" w:space="0" w:color="auto"/>
            </w:tcBorders>
          </w:tcPr>
          <w:p w14:paraId="4E6C16B4" w14:textId="63D1DBA7" w:rsidR="00A21E7D" w:rsidRPr="00D2027A" w:rsidRDefault="00A21E7D" w:rsidP="00B53355">
            <w:pPr>
              <w:pStyle w:val="Tabletext"/>
              <w:rPr>
                <w:rFonts w:asciiTheme="majorBidi" w:eastAsia="Malgun Gothic" w:hAnsiTheme="majorBidi" w:cstheme="majorBidi"/>
                <w:bCs/>
                <w:sz w:val="24"/>
                <w:szCs w:val="24"/>
                <w:lang w:val="es-ES" w:eastAsia="ko-KR"/>
              </w:rPr>
            </w:pPr>
            <w:r w:rsidRPr="00CB3DCE">
              <w:rPr>
                <w:lang w:val="es-ES"/>
              </w:rPr>
              <w:t>9ª</w:t>
            </w:r>
            <w:r w:rsidRPr="00CB3DCE">
              <w:rPr>
                <w:rFonts w:asciiTheme="majorBidi" w:hAnsiTheme="majorBidi" w:cstheme="majorBidi"/>
                <w:lang w:val="es-ES"/>
              </w:rPr>
              <w:t xml:space="preserve"> Plenaria</w:t>
            </w:r>
            <w:r w:rsidRPr="00CB3DCE">
              <w:rPr>
                <w:rFonts w:asciiTheme="majorBidi" w:hAnsiTheme="majorBidi" w:cstheme="majorBidi"/>
                <w:lang w:val="es-ES"/>
              </w:rPr>
              <w:br/>
            </w:r>
            <w:hyperlink r:id="rId69" w:history="1">
              <w:r w:rsidRPr="00CB3DCE">
                <w:rPr>
                  <w:rStyle w:val="Hyperlink"/>
                  <w:rFonts w:asciiTheme="majorBidi" w:hAnsiTheme="majorBidi" w:cstheme="majorBidi"/>
                  <w:bCs/>
                  <w:lang w:val="es-ES"/>
                </w:rPr>
                <w:t xml:space="preserve">Doc. </w:t>
              </w:r>
              <w:r w:rsidRPr="00CB3DCE">
                <w:rPr>
                  <w:rStyle w:val="Hyperlink"/>
                  <w:rFonts w:asciiTheme="majorBidi" w:hAnsiTheme="majorBidi" w:cstheme="majorBidi"/>
                  <w:lang w:val="es-ES"/>
                </w:rPr>
                <w:t>431</w:t>
              </w:r>
            </w:hyperlink>
          </w:p>
        </w:tc>
        <w:tc>
          <w:tcPr>
            <w:tcW w:w="2312" w:type="pct"/>
            <w:tcBorders>
              <w:top w:val="single" w:sz="4" w:space="0" w:color="auto"/>
            </w:tcBorders>
          </w:tcPr>
          <w:p w14:paraId="23AFC565" w14:textId="1F777C87" w:rsidR="00A21E7D" w:rsidRPr="00A21E7D" w:rsidRDefault="00A21E7D" w:rsidP="00B53355">
            <w:pPr>
              <w:spacing w:before="40" w:after="40"/>
              <w:rPr>
                <w:sz w:val="22"/>
                <w:lang w:val="es-ES"/>
              </w:rPr>
            </w:pPr>
            <w:r w:rsidRPr="00A21E7D">
              <w:rPr>
                <w:sz w:val="22"/>
                <w:lang w:val="es-ES"/>
              </w:rPr>
              <w:t>6.1</w:t>
            </w:r>
            <w:r w:rsidRPr="00A21E7D">
              <w:rPr>
                <w:sz w:val="22"/>
                <w:lang w:val="es-ES"/>
              </w:rPr>
              <w:tab/>
              <w:t xml:space="preserve">El </w:t>
            </w:r>
            <w:r w:rsidRPr="00A21E7D">
              <w:rPr>
                <w:b/>
                <w:sz w:val="22"/>
                <w:lang w:val="es-ES"/>
              </w:rPr>
              <w:t>Presidente de la Comisión 6</w:t>
            </w:r>
            <w:r w:rsidRPr="00A21E7D">
              <w:rPr>
                <w:sz w:val="22"/>
                <w:lang w:val="es-ES"/>
              </w:rPr>
              <w:t xml:space="preserve"> presenta el </w:t>
            </w:r>
            <w:hyperlink r:id="rId70" w:history="1">
              <w:r w:rsidRPr="00A21E7D">
                <w:rPr>
                  <w:rStyle w:val="Hyperlink"/>
                  <w:sz w:val="22"/>
                  <w:lang w:val="es-ES"/>
                </w:rPr>
                <w:t>Documento 337 y su Addéndum 1</w:t>
              </w:r>
            </w:hyperlink>
            <w:r w:rsidRPr="00A21E7D">
              <w:rPr>
                <w:sz w:val="22"/>
                <w:lang w:val="es-ES"/>
              </w:rPr>
              <w:t xml:space="preserve">, en el que se recogen las siguientes conclusiones de dicha Comisión tras haber examinado los Documentos </w:t>
            </w:r>
            <w:hyperlink r:id="rId71" w:history="1">
              <w:r w:rsidRPr="00A21E7D">
                <w:rPr>
                  <w:rStyle w:val="Hyperlink"/>
                  <w:sz w:val="22"/>
                  <w:lang w:val="es-ES"/>
                </w:rPr>
                <w:t>30</w:t>
              </w:r>
            </w:hyperlink>
            <w:r w:rsidRPr="00A21E7D">
              <w:rPr>
                <w:sz w:val="22"/>
                <w:lang w:val="es-ES"/>
              </w:rPr>
              <w:t xml:space="preserve">, </w:t>
            </w:r>
            <w:hyperlink r:id="rId72" w:history="1">
              <w:r w:rsidRPr="00A21E7D">
                <w:rPr>
                  <w:rStyle w:val="Hyperlink"/>
                  <w:sz w:val="22"/>
                  <w:lang w:val="es-ES"/>
                </w:rPr>
                <w:t>39 (Addéndum 21)</w:t>
              </w:r>
            </w:hyperlink>
            <w:r w:rsidRPr="00A21E7D">
              <w:rPr>
                <w:sz w:val="22"/>
                <w:lang w:val="es-ES"/>
              </w:rPr>
              <w:t xml:space="preserve">, </w:t>
            </w:r>
            <w:hyperlink r:id="rId73" w:history="1">
              <w:r w:rsidRPr="00A21E7D">
                <w:rPr>
                  <w:rStyle w:val="Hyperlink"/>
                  <w:sz w:val="22"/>
                  <w:lang w:val="es-ES"/>
                </w:rPr>
                <w:t>41 (Addéndum 27)</w:t>
              </w:r>
            </w:hyperlink>
            <w:r w:rsidRPr="00A21E7D">
              <w:rPr>
                <w:sz w:val="22"/>
                <w:lang w:val="es-ES"/>
              </w:rPr>
              <w:t xml:space="preserve">, </w:t>
            </w:r>
            <w:hyperlink r:id="rId74" w:history="1">
              <w:r w:rsidRPr="00A21E7D">
                <w:rPr>
                  <w:rStyle w:val="Hyperlink"/>
                  <w:sz w:val="22"/>
                  <w:lang w:val="es-ES"/>
                </w:rPr>
                <w:t>65</w:t>
              </w:r>
            </w:hyperlink>
            <w:r w:rsidRPr="00A21E7D">
              <w:rPr>
                <w:sz w:val="22"/>
                <w:lang w:val="es-ES"/>
              </w:rPr>
              <w:t xml:space="preserve">, </w:t>
            </w:r>
            <w:hyperlink r:id="rId75" w:history="1">
              <w:r w:rsidRPr="00A21E7D">
                <w:rPr>
                  <w:rStyle w:val="Hyperlink"/>
                  <w:sz w:val="22"/>
                  <w:lang w:val="es-ES"/>
                </w:rPr>
                <w:t>5 (Addéndum 15)</w:t>
              </w:r>
            </w:hyperlink>
            <w:r w:rsidRPr="00A21E7D">
              <w:rPr>
                <w:sz w:val="22"/>
                <w:lang w:val="es-ES"/>
              </w:rPr>
              <w:t xml:space="preserve"> y </w:t>
            </w:r>
            <w:hyperlink r:id="rId76" w:history="1">
              <w:r w:rsidRPr="00A21E7D">
                <w:rPr>
                  <w:rStyle w:val="Hyperlink"/>
                  <w:sz w:val="22"/>
                  <w:lang w:val="es-ES"/>
                </w:rPr>
                <w:t>4 (Addéndum 4)</w:t>
              </w:r>
            </w:hyperlink>
            <w:r w:rsidRPr="00A21E7D">
              <w:rPr>
                <w:sz w:val="22"/>
                <w:lang w:val="es-ES"/>
              </w:rPr>
              <w:t>:</w:t>
            </w:r>
          </w:p>
          <w:p w14:paraId="29346A8A" w14:textId="27D26338" w:rsidR="00A21E7D" w:rsidRPr="00A21E7D" w:rsidRDefault="00A21E7D" w:rsidP="00B53355">
            <w:pPr>
              <w:pStyle w:val="enumlev1"/>
              <w:spacing w:before="40" w:after="40"/>
              <w:rPr>
                <w:sz w:val="22"/>
                <w:lang w:val="es-ES"/>
              </w:rPr>
            </w:pPr>
            <w:r w:rsidRPr="00A21E7D">
              <w:rPr>
                <w:sz w:val="22"/>
                <w:lang w:val="es-ES"/>
              </w:rPr>
              <w:t>«a)</w:t>
            </w:r>
            <w:r w:rsidRPr="00A21E7D">
              <w:rPr>
                <w:sz w:val="22"/>
                <w:lang w:val="es-ES"/>
              </w:rPr>
              <w:tab/>
              <w:t xml:space="preserve">En lo que respecta a la aplicación de los Artículos </w:t>
            </w:r>
            <w:r w:rsidRPr="0086363C">
              <w:rPr>
                <w:b/>
                <w:bCs/>
                <w:sz w:val="22"/>
                <w:lang w:val="es-ES"/>
              </w:rPr>
              <w:t>15</w:t>
            </w:r>
            <w:r w:rsidRPr="00A21E7D">
              <w:rPr>
                <w:sz w:val="22"/>
                <w:lang w:val="es-ES"/>
              </w:rPr>
              <w:t xml:space="preserve"> y </w:t>
            </w:r>
            <w:r w:rsidRPr="0086363C">
              <w:rPr>
                <w:b/>
                <w:bCs/>
                <w:sz w:val="22"/>
                <w:lang w:val="es-ES"/>
              </w:rPr>
              <w:t>23</w:t>
            </w:r>
            <w:r w:rsidRPr="00A21E7D">
              <w:rPr>
                <w:sz w:val="22"/>
                <w:lang w:val="es-ES"/>
              </w:rPr>
              <w:t>, la Comisión 6 examinó diversos documentos (</w:t>
            </w:r>
            <w:hyperlink r:id="rId77" w:history="1">
              <w:r w:rsidRPr="00A21E7D">
                <w:rPr>
                  <w:rStyle w:val="Hyperlink"/>
                  <w:sz w:val="22"/>
                  <w:lang w:val="es-ES"/>
                </w:rPr>
                <w:t>30</w:t>
              </w:r>
            </w:hyperlink>
            <w:r w:rsidRPr="00A21E7D">
              <w:rPr>
                <w:sz w:val="22"/>
                <w:lang w:val="es-ES"/>
              </w:rPr>
              <w:t xml:space="preserve">, </w:t>
            </w:r>
            <w:hyperlink r:id="rId78" w:history="1">
              <w:r w:rsidRPr="00A21E7D">
                <w:rPr>
                  <w:rStyle w:val="Hyperlink"/>
                  <w:sz w:val="22"/>
                  <w:lang w:val="es-ES"/>
                </w:rPr>
                <w:t>39</w:t>
              </w:r>
              <w:r>
                <w:rPr>
                  <w:rStyle w:val="Hyperlink"/>
                  <w:sz w:val="22"/>
                  <w:lang w:val="es-ES"/>
                </w:rPr>
                <w:t> </w:t>
              </w:r>
              <w:r w:rsidRPr="00A21E7D">
                <w:rPr>
                  <w:rStyle w:val="Hyperlink"/>
                  <w:sz w:val="22"/>
                  <w:lang w:val="es-ES"/>
                </w:rPr>
                <w:t>(Addéndum</w:t>
              </w:r>
              <w:r>
                <w:rPr>
                  <w:rStyle w:val="Hyperlink"/>
                  <w:sz w:val="22"/>
                  <w:lang w:val="es-ES"/>
                </w:rPr>
                <w:t> </w:t>
              </w:r>
              <w:r w:rsidRPr="00A21E7D">
                <w:rPr>
                  <w:rStyle w:val="Hyperlink"/>
                  <w:sz w:val="22"/>
                  <w:lang w:val="es-ES"/>
                </w:rPr>
                <w:t>21)</w:t>
              </w:r>
            </w:hyperlink>
            <w:r w:rsidRPr="00A21E7D">
              <w:rPr>
                <w:sz w:val="22"/>
                <w:lang w:val="es-ES"/>
              </w:rPr>
              <w:t xml:space="preserve">, </w:t>
            </w:r>
            <w:hyperlink r:id="rId79" w:history="1">
              <w:r w:rsidRPr="00A21E7D">
                <w:rPr>
                  <w:rStyle w:val="Hyperlink"/>
                  <w:sz w:val="22"/>
                  <w:lang w:val="es-ES"/>
                </w:rPr>
                <w:t>41 (Addéndum 27)</w:t>
              </w:r>
            </w:hyperlink>
            <w:r w:rsidRPr="00A21E7D">
              <w:rPr>
                <w:sz w:val="22"/>
                <w:lang w:val="es-ES"/>
              </w:rPr>
              <w:t xml:space="preserve">, </w:t>
            </w:r>
            <w:hyperlink r:id="rId80" w:history="1">
              <w:r w:rsidRPr="00A21E7D">
                <w:rPr>
                  <w:rStyle w:val="Hyperlink"/>
                  <w:sz w:val="22"/>
                  <w:lang w:val="es-ES"/>
                </w:rPr>
                <w:t>65</w:t>
              </w:r>
            </w:hyperlink>
            <w:r w:rsidRPr="00A21E7D">
              <w:rPr>
                <w:sz w:val="22"/>
                <w:lang w:val="es-ES"/>
              </w:rPr>
              <w:t xml:space="preserve">, </w:t>
            </w:r>
            <w:hyperlink r:id="rId81" w:history="1">
              <w:r w:rsidRPr="00A21E7D">
                <w:rPr>
                  <w:rStyle w:val="Hyperlink"/>
                  <w:sz w:val="22"/>
                  <w:lang w:val="es-ES"/>
                </w:rPr>
                <w:t>5</w:t>
              </w:r>
              <w:r w:rsidR="00924C8B">
                <w:rPr>
                  <w:rStyle w:val="Hyperlink"/>
                  <w:sz w:val="22"/>
                  <w:lang w:val="es-ES"/>
                </w:rPr>
                <w:t> </w:t>
              </w:r>
              <w:r w:rsidRPr="00A21E7D">
                <w:rPr>
                  <w:rStyle w:val="Hyperlink"/>
                  <w:sz w:val="22"/>
                  <w:lang w:val="es-ES"/>
                </w:rPr>
                <w:t>(</w:t>
              </w:r>
              <w:proofErr w:type="spellStart"/>
              <w:r w:rsidRPr="00A21E7D">
                <w:rPr>
                  <w:rStyle w:val="Hyperlink"/>
                  <w:sz w:val="22"/>
                  <w:lang w:val="es-ES"/>
                </w:rPr>
                <w:t>Addéndum</w:t>
              </w:r>
              <w:proofErr w:type="spellEnd"/>
              <w:r w:rsidR="00924C8B">
                <w:rPr>
                  <w:rStyle w:val="Hyperlink"/>
                  <w:sz w:val="22"/>
                  <w:lang w:val="es-ES"/>
                </w:rPr>
                <w:t> </w:t>
              </w:r>
              <w:r w:rsidRPr="00A21E7D">
                <w:rPr>
                  <w:rStyle w:val="Hyperlink"/>
                  <w:sz w:val="22"/>
                  <w:lang w:val="es-ES"/>
                </w:rPr>
                <w:t>15)</w:t>
              </w:r>
            </w:hyperlink>
            <w:r w:rsidRPr="00A21E7D">
              <w:rPr>
                <w:sz w:val="22"/>
                <w:lang w:val="es-ES"/>
              </w:rPr>
              <w:t xml:space="preserve"> y </w:t>
            </w:r>
            <w:hyperlink r:id="rId82" w:history="1">
              <w:r w:rsidRPr="00A21E7D">
                <w:rPr>
                  <w:rStyle w:val="Hyperlink"/>
                  <w:sz w:val="22"/>
                  <w:lang w:val="es-ES"/>
                </w:rPr>
                <w:t>4</w:t>
              </w:r>
              <w:r>
                <w:rPr>
                  <w:rStyle w:val="Hyperlink"/>
                  <w:sz w:val="22"/>
                  <w:lang w:val="es-ES"/>
                </w:rPr>
                <w:t> </w:t>
              </w:r>
              <w:r w:rsidRPr="00A21E7D">
                <w:rPr>
                  <w:rStyle w:val="Hyperlink"/>
                  <w:sz w:val="22"/>
                  <w:lang w:val="es-ES"/>
                </w:rPr>
                <w:t>(Addéndum 4)</w:t>
              </w:r>
            </w:hyperlink>
            <w:r w:rsidRPr="00A21E7D">
              <w:rPr>
                <w:sz w:val="22"/>
                <w:lang w:val="es-ES"/>
              </w:rPr>
              <w:t xml:space="preserve">) relativos, en particular, a los casos comunicados de interferencia perjudicial a las asignaciones inscritas en el MIFR con una conclusión favorable con arreglo al número </w:t>
            </w:r>
            <w:r w:rsidRPr="00A21E7D">
              <w:rPr>
                <w:b/>
                <w:bCs/>
                <w:sz w:val="22"/>
                <w:lang w:val="es-ES"/>
              </w:rPr>
              <w:t>11.31</w:t>
            </w:r>
            <w:r w:rsidRPr="00A21E7D">
              <w:rPr>
                <w:sz w:val="22"/>
                <w:lang w:val="es-ES"/>
              </w:rPr>
              <w:t>.</w:t>
            </w:r>
          </w:p>
          <w:p w14:paraId="5AE80879" w14:textId="77777777" w:rsidR="00A21E7D" w:rsidRPr="00A21E7D" w:rsidRDefault="00A21E7D" w:rsidP="00B53355">
            <w:pPr>
              <w:pStyle w:val="enumlev1"/>
              <w:spacing w:before="40" w:after="40"/>
              <w:rPr>
                <w:sz w:val="22"/>
                <w:lang w:val="es-ES"/>
              </w:rPr>
            </w:pPr>
            <w:r w:rsidRPr="00A21E7D">
              <w:rPr>
                <w:sz w:val="22"/>
                <w:lang w:val="es-ES"/>
              </w:rPr>
              <w:t>b)</w:t>
            </w:r>
            <w:r w:rsidRPr="00A21E7D">
              <w:rPr>
                <w:sz w:val="22"/>
                <w:lang w:val="es-ES"/>
              </w:rPr>
              <w:tab/>
              <w:t>La Comisión 6 observa que, pese a que ha solicitado en reiteradas ocasiones a las administraciones implicadas que adopten las medidas necesarias para eliminar la interferencia perjudicial, la Oficina no ha recibido información alguna de que la situación haya mejorado en relación con estos casos.</w:t>
            </w:r>
          </w:p>
          <w:p w14:paraId="1299E9B8" w14:textId="77777777" w:rsidR="00A21E7D" w:rsidRPr="00A21E7D" w:rsidRDefault="00A21E7D" w:rsidP="00B53355">
            <w:pPr>
              <w:pStyle w:val="enumlev1"/>
              <w:spacing w:before="40" w:after="40"/>
              <w:rPr>
                <w:sz w:val="22"/>
                <w:lang w:val="es-ES"/>
              </w:rPr>
            </w:pPr>
            <w:r w:rsidRPr="00A21E7D">
              <w:rPr>
                <w:sz w:val="22"/>
                <w:lang w:val="es-ES"/>
              </w:rPr>
              <w:t>c)</w:t>
            </w:r>
            <w:r w:rsidRPr="00A21E7D">
              <w:rPr>
                <w:sz w:val="22"/>
                <w:lang w:val="es-ES"/>
              </w:rPr>
              <w:tab/>
              <w:t xml:space="preserve">La Comisión 6 da las gracias a la Junta y a la Oficina por las medidas adoptadas a este respecto e insta a las administraciones implicadas a que adopten las medidas </w:t>
            </w:r>
            <w:r w:rsidRPr="00A21E7D">
              <w:rPr>
                <w:sz w:val="22"/>
                <w:lang w:val="es-ES"/>
              </w:rPr>
              <w:lastRenderedPageBreak/>
              <w:t>necesarias para resolver estos casos, de conformidad con las disposiciones pertinentes del Reglamento de Radiocomunicaciones.</w:t>
            </w:r>
          </w:p>
          <w:p w14:paraId="35A7F091" w14:textId="77777777" w:rsidR="00A21E7D" w:rsidRPr="00A21E7D" w:rsidRDefault="00A21E7D" w:rsidP="00B53355">
            <w:pPr>
              <w:pStyle w:val="enumlev1"/>
              <w:spacing w:before="40" w:after="40"/>
              <w:rPr>
                <w:sz w:val="22"/>
                <w:lang w:val="es-ES"/>
              </w:rPr>
            </w:pPr>
            <w:r w:rsidRPr="00A21E7D">
              <w:rPr>
                <w:sz w:val="22"/>
                <w:lang w:val="es-ES"/>
              </w:rPr>
              <w:t>d)</w:t>
            </w:r>
            <w:r w:rsidRPr="00A21E7D">
              <w:rPr>
                <w:sz w:val="22"/>
                <w:lang w:val="es-ES"/>
              </w:rPr>
              <w:tab/>
              <w:t>La Comisión 6 insta a las administraciones implicadas a que cumplan sus obligaciones dimanantes de las disposiciones del Reglamento de Radiocomunicaciones, sin perjuicio de la posición o las notificaciones existentes y futuras de las administraciones a la UIT.</w:t>
            </w:r>
          </w:p>
          <w:p w14:paraId="06C4B169" w14:textId="77777777" w:rsidR="00A21E7D" w:rsidRPr="00A21E7D" w:rsidRDefault="00A21E7D" w:rsidP="00B53355">
            <w:pPr>
              <w:pStyle w:val="enumlev1"/>
              <w:spacing w:before="40" w:after="40"/>
              <w:rPr>
                <w:sz w:val="22"/>
                <w:lang w:val="es-ES"/>
              </w:rPr>
            </w:pPr>
            <w:r w:rsidRPr="00A21E7D">
              <w:rPr>
                <w:sz w:val="22"/>
                <w:lang w:val="es-ES"/>
              </w:rPr>
              <w:t>e)</w:t>
            </w:r>
            <w:r w:rsidRPr="00A21E7D">
              <w:rPr>
                <w:sz w:val="22"/>
                <w:lang w:val="es-ES"/>
              </w:rPr>
              <w:tab/>
              <w:t>La Comisión 6 propone, además, que se solicite al Director de la Oficina de Radiocomunicaciones que presente un Informe a la CMR</w:t>
            </w:r>
            <w:r w:rsidRPr="00A21E7D">
              <w:rPr>
                <w:sz w:val="22"/>
                <w:lang w:val="es-ES"/>
              </w:rPr>
              <w:noBreakHyphen/>
              <w:t>11 acerca de los resultados de sus actividades sobre este particular.</w:t>
            </w:r>
          </w:p>
          <w:p w14:paraId="42D6CE9A" w14:textId="7301ADC8" w:rsidR="00A21E7D" w:rsidRPr="00A21E7D" w:rsidRDefault="00A21E7D" w:rsidP="00B53355">
            <w:pPr>
              <w:pStyle w:val="enumlev1"/>
              <w:spacing w:before="40" w:after="40"/>
              <w:rPr>
                <w:sz w:val="22"/>
                <w:lang w:val="es-ES"/>
              </w:rPr>
            </w:pPr>
            <w:r w:rsidRPr="00A21E7D">
              <w:rPr>
                <w:sz w:val="22"/>
                <w:lang w:val="es-ES"/>
              </w:rPr>
              <w:t>f)</w:t>
            </w:r>
            <w:r w:rsidRPr="00A21E7D">
              <w:rPr>
                <w:sz w:val="22"/>
                <w:lang w:val="es-ES"/>
              </w:rPr>
              <w:tab/>
              <w:t xml:space="preserve">En cuanto a la propuesta que figura en el </w:t>
            </w:r>
            <w:hyperlink r:id="rId83" w:history="1">
              <w:r w:rsidRPr="00A21E7D">
                <w:rPr>
                  <w:rStyle w:val="Hyperlink"/>
                  <w:sz w:val="22"/>
                  <w:lang w:val="es-ES"/>
                </w:rPr>
                <w:t>Documento 30</w:t>
              </w:r>
            </w:hyperlink>
            <w:r w:rsidRPr="00A21E7D">
              <w:rPr>
                <w:sz w:val="22"/>
                <w:lang w:val="es-ES"/>
              </w:rPr>
              <w:t xml:space="preserve">, para adoptar una Resolución de la CMR que permita cuantificar los aspectos técnicos del número </w:t>
            </w:r>
            <w:r w:rsidRPr="0086363C">
              <w:rPr>
                <w:b/>
                <w:bCs/>
                <w:sz w:val="22"/>
                <w:lang w:val="es-ES"/>
              </w:rPr>
              <w:t>23.3</w:t>
            </w:r>
            <w:r w:rsidRPr="00A21E7D">
              <w:rPr>
                <w:sz w:val="22"/>
                <w:lang w:val="es-ES"/>
              </w:rPr>
              <w:t xml:space="preserve">, la Comisión 6 estima que este enfoque resultaría muy difícil de aplicar en la práctica. </w:t>
            </w:r>
          </w:p>
          <w:p w14:paraId="45C0D265" w14:textId="77777777" w:rsidR="00A21E7D" w:rsidRPr="00A21E7D" w:rsidRDefault="00A21E7D" w:rsidP="00B53355">
            <w:pPr>
              <w:pStyle w:val="enumlev1"/>
              <w:spacing w:before="40" w:after="40"/>
              <w:rPr>
                <w:sz w:val="22"/>
                <w:lang w:val="es-ES"/>
              </w:rPr>
            </w:pPr>
            <w:r w:rsidRPr="00A21E7D">
              <w:rPr>
                <w:sz w:val="22"/>
                <w:lang w:val="es-ES"/>
              </w:rPr>
              <w:t>g)</w:t>
            </w:r>
            <w:r w:rsidRPr="00A21E7D">
              <w:rPr>
                <w:sz w:val="22"/>
                <w:lang w:val="es-ES"/>
              </w:rPr>
              <w:tab/>
              <w:t>No obstante, la Comisión 6 considera que toda estación de radiodifusión que funcione a bordo de una aeronave y transmita exclusivamente en el territorio de otra administración sin su consentimiento, no puede considerarse que funcione de conformidad con el Reglamento de Radiocomunicaciones.»</w:t>
            </w:r>
          </w:p>
          <w:p w14:paraId="11544E7A" w14:textId="77777777" w:rsidR="00A21E7D" w:rsidRPr="00A21E7D" w:rsidRDefault="00A21E7D" w:rsidP="00B53355">
            <w:pPr>
              <w:spacing w:before="40" w:after="40"/>
              <w:rPr>
                <w:sz w:val="22"/>
                <w:lang w:val="es-ES"/>
              </w:rPr>
            </w:pPr>
            <w:r w:rsidRPr="00A21E7D">
              <w:rPr>
                <w:sz w:val="22"/>
                <w:lang w:val="es-ES"/>
              </w:rPr>
              <w:t>6.2</w:t>
            </w:r>
            <w:r w:rsidRPr="00A21E7D">
              <w:rPr>
                <w:sz w:val="22"/>
                <w:lang w:val="es-ES"/>
              </w:rPr>
              <w:tab/>
              <w:t>La Comisión propone que la Plenaria apruebe estas conclusiones.</w:t>
            </w:r>
          </w:p>
          <w:p w14:paraId="6A53535E" w14:textId="77777777" w:rsidR="00A21E7D" w:rsidRPr="00A21E7D" w:rsidRDefault="00A21E7D" w:rsidP="00B53355">
            <w:pPr>
              <w:spacing w:before="40" w:after="40"/>
              <w:rPr>
                <w:sz w:val="22"/>
                <w:lang w:val="es-ES"/>
              </w:rPr>
            </w:pPr>
            <w:r w:rsidRPr="00A21E7D">
              <w:rPr>
                <w:sz w:val="22"/>
                <w:lang w:val="es-ES"/>
              </w:rPr>
              <w:t>6.3</w:t>
            </w:r>
            <w:r w:rsidRPr="00A21E7D">
              <w:rPr>
                <w:sz w:val="22"/>
                <w:lang w:val="es-ES"/>
              </w:rPr>
              <w:tab/>
              <w:t xml:space="preserve">El </w:t>
            </w:r>
            <w:r w:rsidRPr="00A21E7D">
              <w:rPr>
                <w:b/>
                <w:sz w:val="22"/>
                <w:lang w:val="es-ES"/>
              </w:rPr>
              <w:t xml:space="preserve">delegado de Estados Unidos </w:t>
            </w:r>
            <w:r w:rsidRPr="00A21E7D">
              <w:rPr>
                <w:bCs/>
                <w:sz w:val="22"/>
                <w:lang w:val="es-ES"/>
              </w:rPr>
              <w:t>formula</w:t>
            </w:r>
            <w:r w:rsidRPr="00A21E7D">
              <w:rPr>
                <w:b/>
                <w:sz w:val="22"/>
                <w:lang w:val="es-ES"/>
              </w:rPr>
              <w:t xml:space="preserve"> </w:t>
            </w:r>
            <w:r w:rsidRPr="00A21E7D">
              <w:rPr>
                <w:sz w:val="22"/>
                <w:lang w:val="es-ES"/>
              </w:rPr>
              <w:t>la declaración que se reproduce en el Anexo A.</w:t>
            </w:r>
          </w:p>
          <w:p w14:paraId="19B22E11" w14:textId="77777777" w:rsidR="00A21E7D" w:rsidRPr="00A21E7D" w:rsidRDefault="00A21E7D" w:rsidP="00B53355">
            <w:pPr>
              <w:spacing w:before="40" w:after="40"/>
              <w:rPr>
                <w:sz w:val="22"/>
                <w:lang w:val="es-ES"/>
              </w:rPr>
            </w:pPr>
            <w:r w:rsidRPr="00A21E7D">
              <w:rPr>
                <w:sz w:val="22"/>
                <w:lang w:val="es-ES"/>
              </w:rPr>
              <w:br w:type="page"/>
              <w:t>6.4</w:t>
            </w:r>
            <w:r w:rsidRPr="00A21E7D">
              <w:rPr>
                <w:sz w:val="22"/>
                <w:lang w:val="es-ES"/>
              </w:rPr>
              <w:tab/>
              <w:t xml:space="preserve">El </w:t>
            </w:r>
            <w:r w:rsidRPr="00A21E7D">
              <w:rPr>
                <w:b/>
                <w:sz w:val="22"/>
                <w:lang w:val="es-ES"/>
              </w:rPr>
              <w:t xml:space="preserve">Presidente </w:t>
            </w:r>
            <w:r w:rsidRPr="00A21E7D">
              <w:rPr>
                <w:sz w:val="22"/>
                <w:lang w:val="es-ES"/>
              </w:rPr>
              <w:t>propone que la Plenaria apruebe las conclusiones de la Comisión 6 en una decisión de la Plenaria.</w:t>
            </w:r>
          </w:p>
          <w:p w14:paraId="639E11BF" w14:textId="77777777" w:rsidR="00A21E7D" w:rsidRPr="00A21E7D" w:rsidRDefault="00A21E7D" w:rsidP="00B53355">
            <w:pPr>
              <w:spacing w:before="40" w:after="40"/>
              <w:rPr>
                <w:sz w:val="22"/>
                <w:lang w:val="es-ES"/>
              </w:rPr>
            </w:pPr>
            <w:r w:rsidRPr="00A21E7D">
              <w:rPr>
                <w:sz w:val="22"/>
                <w:lang w:val="es-ES"/>
              </w:rPr>
              <w:t>6.5</w:t>
            </w:r>
            <w:r w:rsidRPr="00A21E7D">
              <w:rPr>
                <w:sz w:val="22"/>
                <w:lang w:val="es-ES"/>
              </w:rPr>
              <w:tab/>
              <w:t xml:space="preserve">Así se </w:t>
            </w:r>
            <w:r w:rsidRPr="00A21E7D">
              <w:rPr>
                <w:b/>
                <w:bCs/>
                <w:sz w:val="22"/>
                <w:lang w:val="es-ES"/>
              </w:rPr>
              <w:t>acuerda</w:t>
            </w:r>
            <w:r w:rsidRPr="00A21E7D">
              <w:rPr>
                <w:sz w:val="22"/>
                <w:lang w:val="es-ES"/>
              </w:rPr>
              <w:t>.</w:t>
            </w:r>
          </w:p>
          <w:p w14:paraId="421BC8D8" w14:textId="77777777" w:rsidR="00A21E7D" w:rsidRPr="00A21E7D" w:rsidRDefault="00A21E7D" w:rsidP="00B53355">
            <w:pPr>
              <w:spacing w:before="40" w:after="40"/>
              <w:rPr>
                <w:sz w:val="22"/>
                <w:lang w:val="es-ES"/>
              </w:rPr>
            </w:pPr>
            <w:r w:rsidRPr="00A21E7D">
              <w:rPr>
                <w:sz w:val="22"/>
                <w:lang w:val="es-ES"/>
              </w:rPr>
              <w:t>6.6</w:t>
            </w:r>
            <w:r w:rsidRPr="00A21E7D">
              <w:rPr>
                <w:sz w:val="22"/>
                <w:lang w:val="es-ES"/>
              </w:rPr>
              <w:tab/>
              <w:t xml:space="preserve">El </w:t>
            </w:r>
            <w:r w:rsidRPr="00A21E7D">
              <w:rPr>
                <w:b/>
                <w:sz w:val="22"/>
                <w:lang w:val="es-ES"/>
              </w:rPr>
              <w:t>delegado de Cuba</w:t>
            </w:r>
            <w:r w:rsidRPr="00A21E7D">
              <w:rPr>
                <w:sz w:val="22"/>
                <w:lang w:val="es-ES"/>
              </w:rPr>
              <w:t xml:space="preserve"> formula una declaración que se reproduce en el Anexo B.</w:t>
            </w:r>
          </w:p>
        </w:tc>
        <w:tc>
          <w:tcPr>
            <w:tcW w:w="1548" w:type="pct"/>
            <w:tcBorders>
              <w:top w:val="single" w:sz="4" w:space="0" w:color="auto"/>
            </w:tcBorders>
          </w:tcPr>
          <w:p w14:paraId="23A938C3" w14:textId="02203D44" w:rsidR="00A21E7D" w:rsidRPr="00D2027A" w:rsidRDefault="00A21E7D" w:rsidP="00B53355">
            <w:pPr>
              <w:pStyle w:val="Tabletext"/>
              <w:rPr>
                <w:rFonts w:asciiTheme="majorBidi" w:hAnsiTheme="majorBidi" w:cstheme="majorBidi"/>
                <w:bCs/>
                <w:szCs w:val="24"/>
                <w:lang w:val="es-ES"/>
              </w:rPr>
            </w:pPr>
            <w:r w:rsidRPr="00D2027A">
              <w:rPr>
                <w:rFonts w:asciiTheme="majorBidi" w:hAnsiTheme="majorBidi" w:cstheme="majorBidi"/>
                <w:szCs w:val="24"/>
                <w:lang w:val="es-ES"/>
              </w:rPr>
              <w:lastRenderedPageBreak/>
              <w:t>La RRB examinaba esta cuestión desde su 45ª </w:t>
            </w:r>
            <w:r w:rsidR="00D156CD">
              <w:rPr>
                <w:rFonts w:asciiTheme="majorBidi" w:hAnsiTheme="majorBidi" w:cstheme="majorBidi"/>
                <w:szCs w:val="24"/>
                <w:lang w:val="es-ES"/>
              </w:rPr>
              <w:t>r</w:t>
            </w:r>
            <w:r w:rsidRPr="00D2027A">
              <w:rPr>
                <w:rFonts w:asciiTheme="majorBidi" w:hAnsiTheme="majorBidi" w:cstheme="majorBidi"/>
                <w:szCs w:val="24"/>
                <w:lang w:val="es-ES"/>
              </w:rPr>
              <w:t>eunión y los resultados se notificaron a la CMR</w:t>
            </w:r>
            <w:r w:rsidRPr="00D2027A">
              <w:rPr>
                <w:rFonts w:asciiTheme="majorBidi" w:hAnsiTheme="majorBidi" w:cstheme="majorBidi"/>
                <w:szCs w:val="24"/>
                <w:lang w:val="es-ES"/>
              </w:rPr>
              <w:noBreakHyphen/>
              <w:t xml:space="preserve">12 en el </w:t>
            </w:r>
            <w:hyperlink r:id="rId84" w:history="1">
              <w:r w:rsidRPr="00D2027A">
                <w:rPr>
                  <w:rStyle w:val="Hyperlink"/>
                  <w:rFonts w:asciiTheme="majorBidi" w:hAnsiTheme="majorBidi" w:cstheme="majorBidi"/>
                  <w:bCs/>
                  <w:szCs w:val="24"/>
                  <w:lang w:val="es-ES"/>
                </w:rPr>
                <w:t>Addéndum 3 al Documento 4</w:t>
              </w:r>
            </w:hyperlink>
            <w:r w:rsidRPr="00D2027A">
              <w:rPr>
                <w:rFonts w:asciiTheme="majorBidi" w:hAnsiTheme="majorBidi" w:cstheme="majorBidi"/>
                <w:bCs/>
                <w:szCs w:val="24"/>
                <w:lang w:val="es-ES"/>
              </w:rPr>
              <w:t>. Para más información, véanse los siguientes documentos:</w:t>
            </w:r>
          </w:p>
          <w:p w14:paraId="6E16E978" w14:textId="3954E7EF" w:rsidR="00A21E7D" w:rsidRPr="00D2027A" w:rsidRDefault="00A21E7D" w:rsidP="00B53355">
            <w:pPr>
              <w:pStyle w:val="Tabletext"/>
              <w:rPr>
                <w:rFonts w:asciiTheme="majorBidi" w:hAnsiTheme="majorBidi" w:cstheme="majorBidi"/>
                <w:szCs w:val="24"/>
                <w:lang w:val="es-ES"/>
              </w:rPr>
            </w:pPr>
            <w:r w:rsidRPr="00266695">
              <w:rPr>
                <w:lang w:val="es-ES"/>
              </w:rPr>
              <w:t>45ª</w:t>
            </w:r>
            <w:r w:rsidRPr="00D2027A">
              <w:rPr>
                <w:rFonts w:asciiTheme="majorBidi" w:hAnsiTheme="majorBidi" w:cstheme="majorBidi"/>
                <w:szCs w:val="24"/>
                <w:vertAlign w:val="superscript"/>
                <w:lang w:val="es-ES"/>
              </w:rPr>
              <w:t xml:space="preserve"> </w:t>
            </w:r>
            <w:r w:rsidRPr="00D2027A">
              <w:rPr>
                <w:rFonts w:asciiTheme="majorBidi" w:hAnsiTheme="majorBidi" w:cstheme="majorBidi"/>
                <w:szCs w:val="24"/>
                <w:lang w:val="es-ES"/>
              </w:rPr>
              <w:t>(</w:t>
            </w:r>
            <w:hyperlink r:id="rId85" w:history="1">
              <w:r w:rsidRPr="00D2027A">
                <w:rPr>
                  <w:rStyle w:val="Hyperlink"/>
                  <w:rFonts w:asciiTheme="majorBidi" w:hAnsiTheme="majorBidi" w:cstheme="majorBidi"/>
                  <w:szCs w:val="24"/>
                  <w:lang w:val="es-ES"/>
                </w:rPr>
                <w:t>Doc. RRB07-3/5</w:t>
              </w:r>
            </w:hyperlink>
            <w:r w:rsidRPr="00D2027A">
              <w:rPr>
                <w:rFonts w:asciiTheme="majorBidi" w:hAnsiTheme="majorBidi" w:cstheme="majorBidi"/>
                <w:szCs w:val="24"/>
                <w:lang w:val="es-ES"/>
              </w:rPr>
              <w:t xml:space="preserve">); </w:t>
            </w:r>
          </w:p>
          <w:p w14:paraId="00077FAF" w14:textId="7CBBC91D" w:rsidR="00A21E7D" w:rsidRPr="00D2027A" w:rsidRDefault="00A21E7D" w:rsidP="00B53355">
            <w:pPr>
              <w:pStyle w:val="Tabletext"/>
              <w:rPr>
                <w:rFonts w:asciiTheme="majorBidi" w:hAnsiTheme="majorBidi" w:cstheme="majorBidi"/>
                <w:b/>
                <w:szCs w:val="24"/>
                <w:lang w:val="es-ES"/>
              </w:rPr>
            </w:pPr>
            <w:r w:rsidRPr="00266695">
              <w:rPr>
                <w:lang w:val="es-ES"/>
              </w:rPr>
              <w:t>46ª</w:t>
            </w:r>
            <w:r w:rsidRPr="00D2027A">
              <w:rPr>
                <w:rFonts w:asciiTheme="majorBidi" w:hAnsiTheme="majorBidi" w:cstheme="majorBidi"/>
                <w:szCs w:val="24"/>
                <w:vertAlign w:val="superscript"/>
                <w:lang w:val="es-ES"/>
              </w:rPr>
              <w:t xml:space="preserve"> </w:t>
            </w:r>
            <w:r w:rsidRPr="00D2027A">
              <w:rPr>
                <w:rFonts w:asciiTheme="majorBidi" w:hAnsiTheme="majorBidi" w:cstheme="majorBidi"/>
                <w:bCs/>
                <w:szCs w:val="24"/>
                <w:lang w:val="es-ES"/>
              </w:rPr>
              <w:t>(</w:t>
            </w:r>
            <w:hyperlink r:id="rId86" w:history="1">
              <w:r w:rsidRPr="00D2027A">
                <w:rPr>
                  <w:rStyle w:val="Hyperlink"/>
                  <w:rFonts w:asciiTheme="majorBidi" w:hAnsiTheme="majorBidi" w:cstheme="majorBidi"/>
                  <w:bCs/>
                  <w:szCs w:val="24"/>
                  <w:lang w:val="es-ES"/>
                </w:rPr>
                <w:t>Doc. RRB08-1/5</w:t>
              </w:r>
            </w:hyperlink>
            <w:r w:rsidRPr="00D2027A">
              <w:rPr>
                <w:rFonts w:asciiTheme="majorBidi" w:hAnsiTheme="majorBidi" w:cstheme="majorBidi"/>
                <w:bCs/>
                <w:szCs w:val="24"/>
                <w:lang w:val="es-ES"/>
              </w:rPr>
              <w:t>);</w:t>
            </w:r>
          </w:p>
          <w:p w14:paraId="3AB9FD05" w14:textId="7C583736" w:rsidR="00A21E7D" w:rsidRPr="00D2027A" w:rsidRDefault="00A21E7D" w:rsidP="00B53355">
            <w:pPr>
              <w:pStyle w:val="Tabletext"/>
              <w:rPr>
                <w:rFonts w:asciiTheme="majorBidi" w:hAnsiTheme="majorBidi" w:cstheme="majorBidi"/>
                <w:szCs w:val="24"/>
                <w:lang w:val="es-ES"/>
              </w:rPr>
            </w:pPr>
            <w:r w:rsidRPr="00266695">
              <w:rPr>
                <w:lang w:val="es-ES"/>
              </w:rPr>
              <w:t>47ª</w:t>
            </w:r>
            <w:r w:rsidRPr="00D2027A">
              <w:rPr>
                <w:rFonts w:asciiTheme="majorBidi" w:hAnsiTheme="majorBidi" w:cstheme="majorBidi"/>
                <w:szCs w:val="24"/>
                <w:vertAlign w:val="superscript"/>
                <w:lang w:val="es-ES"/>
              </w:rPr>
              <w:t xml:space="preserve"> </w:t>
            </w:r>
            <w:r w:rsidRPr="00D2027A">
              <w:rPr>
                <w:rFonts w:asciiTheme="majorBidi" w:hAnsiTheme="majorBidi" w:cstheme="majorBidi"/>
                <w:szCs w:val="24"/>
                <w:lang w:val="es-ES"/>
              </w:rPr>
              <w:t>(</w:t>
            </w:r>
            <w:hyperlink r:id="rId87" w:history="1">
              <w:r w:rsidRPr="00D2027A">
                <w:rPr>
                  <w:rStyle w:val="Hyperlink"/>
                  <w:rFonts w:asciiTheme="majorBidi" w:hAnsiTheme="majorBidi" w:cstheme="majorBidi"/>
                  <w:szCs w:val="24"/>
                  <w:lang w:val="es-ES"/>
                </w:rPr>
                <w:t>Doc. RRB08-2/7</w:t>
              </w:r>
            </w:hyperlink>
            <w:r w:rsidRPr="00D2027A">
              <w:rPr>
                <w:rFonts w:asciiTheme="majorBidi" w:hAnsiTheme="majorBidi" w:cstheme="majorBidi"/>
                <w:szCs w:val="24"/>
                <w:lang w:val="es-ES"/>
              </w:rPr>
              <w:t>);</w:t>
            </w:r>
          </w:p>
          <w:p w14:paraId="0C2C7540" w14:textId="042AE3DD" w:rsidR="00A21E7D" w:rsidRPr="00D2027A" w:rsidRDefault="00A21E7D" w:rsidP="00B53355">
            <w:pPr>
              <w:pStyle w:val="Tabletext"/>
              <w:rPr>
                <w:rFonts w:asciiTheme="majorBidi" w:hAnsiTheme="majorBidi" w:cstheme="majorBidi"/>
                <w:szCs w:val="24"/>
                <w:lang w:val="es-ES"/>
              </w:rPr>
            </w:pPr>
            <w:r w:rsidRPr="00266695">
              <w:rPr>
                <w:lang w:val="es-ES"/>
              </w:rPr>
              <w:t>48ª</w:t>
            </w:r>
            <w:r w:rsidRPr="00D2027A">
              <w:rPr>
                <w:rFonts w:asciiTheme="majorBidi" w:hAnsiTheme="majorBidi" w:cstheme="majorBidi"/>
                <w:szCs w:val="24"/>
                <w:vertAlign w:val="superscript"/>
                <w:lang w:val="es-ES"/>
              </w:rPr>
              <w:t xml:space="preserve"> </w:t>
            </w:r>
            <w:r w:rsidRPr="00D2027A">
              <w:rPr>
                <w:rFonts w:asciiTheme="majorBidi" w:hAnsiTheme="majorBidi" w:cstheme="majorBidi"/>
                <w:szCs w:val="24"/>
                <w:lang w:val="es-ES"/>
              </w:rPr>
              <w:t>(</w:t>
            </w:r>
            <w:hyperlink r:id="rId88" w:history="1">
              <w:r w:rsidRPr="00D2027A">
                <w:rPr>
                  <w:rStyle w:val="Hyperlink"/>
                  <w:rFonts w:asciiTheme="majorBidi" w:hAnsiTheme="majorBidi" w:cstheme="majorBidi"/>
                  <w:szCs w:val="24"/>
                  <w:lang w:val="es-ES"/>
                </w:rPr>
                <w:t>Doc. RRB08-3/5</w:t>
              </w:r>
            </w:hyperlink>
            <w:r w:rsidRPr="00D2027A">
              <w:rPr>
                <w:rFonts w:asciiTheme="majorBidi" w:hAnsiTheme="majorBidi" w:cstheme="majorBidi"/>
                <w:szCs w:val="24"/>
                <w:lang w:val="es-ES"/>
              </w:rPr>
              <w:t>);</w:t>
            </w:r>
          </w:p>
          <w:p w14:paraId="209ABD7E" w14:textId="0CE72C22" w:rsidR="00A21E7D" w:rsidRPr="00D2027A" w:rsidRDefault="00A21E7D" w:rsidP="00B53355">
            <w:pPr>
              <w:pStyle w:val="Tabletext"/>
              <w:rPr>
                <w:rFonts w:asciiTheme="majorBidi" w:hAnsiTheme="majorBidi" w:cstheme="majorBidi"/>
                <w:szCs w:val="24"/>
                <w:lang w:val="es-ES"/>
              </w:rPr>
            </w:pPr>
            <w:r w:rsidRPr="00266695">
              <w:rPr>
                <w:lang w:val="es-ES"/>
              </w:rPr>
              <w:t>50ª</w:t>
            </w:r>
            <w:r w:rsidRPr="00D2027A">
              <w:rPr>
                <w:rFonts w:asciiTheme="majorBidi" w:hAnsiTheme="majorBidi" w:cstheme="majorBidi"/>
                <w:szCs w:val="24"/>
                <w:vertAlign w:val="superscript"/>
                <w:lang w:val="es-ES"/>
              </w:rPr>
              <w:t xml:space="preserve"> </w:t>
            </w:r>
            <w:r w:rsidRPr="00D2027A">
              <w:rPr>
                <w:rFonts w:asciiTheme="majorBidi" w:hAnsiTheme="majorBidi" w:cstheme="majorBidi"/>
                <w:szCs w:val="24"/>
                <w:lang w:val="es-ES"/>
              </w:rPr>
              <w:t>(</w:t>
            </w:r>
            <w:hyperlink r:id="rId89" w:history="1">
              <w:r w:rsidRPr="00D2027A">
                <w:rPr>
                  <w:rStyle w:val="Hyperlink"/>
                  <w:rFonts w:asciiTheme="majorBidi" w:hAnsiTheme="majorBidi" w:cstheme="majorBidi"/>
                  <w:szCs w:val="24"/>
                  <w:lang w:val="es-ES"/>
                </w:rPr>
                <w:t>Doc. RRB09-1/5</w:t>
              </w:r>
            </w:hyperlink>
            <w:r w:rsidRPr="00D2027A">
              <w:rPr>
                <w:rFonts w:asciiTheme="majorBidi" w:hAnsiTheme="majorBidi" w:cstheme="majorBidi"/>
                <w:szCs w:val="24"/>
                <w:lang w:val="es-ES"/>
              </w:rPr>
              <w:t>);</w:t>
            </w:r>
          </w:p>
          <w:p w14:paraId="0F6AEF13" w14:textId="0CA89DA9" w:rsidR="00A21E7D" w:rsidRPr="00D2027A" w:rsidRDefault="00A21E7D" w:rsidP="00B53355">
            <w:pPr>
              <w:pStyle w:val="Tabletext"/>
              <w:rPr>
                <w:rFonts w:asciiTheme="majorBidi" w:hAnsiTheme="majorBidi" w:cstheme="majorBidi"/>
                <w:szCs w:val="24"/>
                <w:lang w:val="es-ES"/>
              </w:rPr>
            </w:pPr>
            <w:r w:rsidRPr="00266695">
              <w:rPr>
                <w:lang w:val="es-ES"/>
              </w:rPr>
              <w:t>52</w:t>
            </w:r>
            <w:r w:rsidRPr="00266695">
              <w:rPr>
                <w:vertAlign w:val="superscript"/>
                <w:lang w:val="es-ES"/>
              </w:rPr>
              <w:t>a</w:t>
            </w:r>
            <w:r w:rsidRPr="00D2027A">
              <w:rPr>
                <w:rFonts w:asciiTheme="majorBidi" w:hAnsiTheme="majorBidi" w:cstheme="majorBidi"/>
                <w:szCs w:val="24"/>
                <w:vertAlign w:val="superscript"/>
                <w:lang w:val="es-ES"/>
              </w:rPr>
              <w:t xml:space="preserve"> </w:t>
            </w:r>
            <w:r w:rsidRPr="00D2027A">
              <w:rPr>
                <w:rFonts w:asciiTheme="majorBidi" w:hAnsiTheme="majorBidi" w:cstheme="majorBidi"/>
                <w:szCs w:val="24"/>
                <w:lang w:val="es-ES"/>
              </w:rPr>
              <w:t>(</w:t>
            </w:r>
            <w:hyperlink r:id="rId90" w:history="1">
              <w:r w:rsidRPr="00D2027A">
                <w:rPr>
                  <w:rStyle w:val="Hyperlink"/>
                  <w:rFonts w:asciiTheme="majorBidi" w:hAnsiTheme="majorBidi" w:cstheme="majorBidi"/>
                  <w:szCs w:val="24"/>
                  <w:lang w:val="es-ES"/>
                </w:rPr>
                <w:t>Doc. RRB09-3/6</w:t>
              </w:r>
            </w:hyperlink>
            <w:r w:rsidRPr="00D2027A">
              <w:rPr>
                <w:rFonts w:asciiTheme="majorBidi" w:hAnsiTheme="majorBidi" w:cstheme="majorBidi"/>
                <w:szCs w:val="24"/>
                <w:lang w:val="es-ES"/>
              </w:rPr>
              <w:t>).</w:t>
            </w:r>
          </w:p>
        </w:tc>
      </w:tr>
      <w:tr w:rsidR="00967792" w:rsidRPr="00D2027A" w14:paraId="785AE398" w14:textId="77777777" w:rsidTr="00924C8B">
        <w:trPr>
          <w:jc w:val="center"/>
        </w:trPr>
        <w:tc>
          <w:tcPr>
            <w:tcW w:w="183" w:type="pct"/>
          </w:tcPr>
          <w:p w14:paraId="1B7F0E99" w14:textId="77777777" w:rsidR="00967792" w:rsidRPr="00A616CA" w:rsidRDefault="00967792" w:rsidP="00B53355">
            <w:pPr>
              <w:pStyle w:val="Tabletext"/>
              <w:rPr>
                <w:lang w:val="es-ES"/>
              </w:rPr>
            </w:pPr>
            <w:r w:rsidRPr="00A616CA">
              <w:rPr>
                <w:lang w:val="es-ES"/>
              </w:rPr>
              <w:lastRenderedPageBreak/>
              <w:t>21</w:t>
            </w:r>
          </w:p>
        </w:tc>
        <w:tc>
          <w:tcPr>
            <w:tcW w:w="434" w:type="pct"/>
          </w:tcPr>
          <w:p w14:paraId="745FB123" w14:textId="77777777" w:rsidR="00967792" w:rsidRPr="00A616CA" w:rsidRDefault="00967792" w:rsidP="00B53355">
            <w:pPr>
              <w:pStyle w:val="Tabletext"/>
              <w:rPr>
                <w:lang w:val="es-ES"/>
              </w:rPr>
            </w:pPr>
            <w:r w:rsidRPr="00A616CA">
              <w:rPr>
                <w:lang w:val="es-ES"/>
              </w:rPr>
              <w:t>CMR-07</w:t>
            </w:r>
          </w:p>
        </w:tc>
        <w:tc>
          <w:tcPr>
            <w:tcW w:w="523" w:type="pct"/>
          </w:tcPr>
          <w:p w14:paraId="3697AD5D" w14:textId="047DEF2E" w:rsidR="00967792" w:rsidRPr="00D2027A" w:rsidRDefault="00967792" w:rsidP="00B53355">
            <w:pPr>
              <w:pStyle w:val="Tabletext"/>
              <w:rPr>
                <w:rFonts w:asciiTheme="majorBidi" w:hAnsiTheme="majorBidi" w:cstheme="majorBidi"/>
                <w:szCs w:val="24"/>
                <w:lang w:val="es-ES"/>
              </w:rPr>
            </w:pPr>
            <w:r w:rsidRPr="00D2027A">
              <w:rPr>
                <w:rFonts w:asciiTheme="majorBidi" w:hAnsiTheme="majorBidi" w:cstheme="majorBidi"/>
                <w:szCs w:val="24"/>
                <w:lang w:val="es-ES"/>
              </w:rPr>
              <w:t>9ª Plenaria</w:t>
            </w:r>
            <w:r w:rsidR="00743DCD">
              <w:rPr>
                <w:rFonts w:asciiTheme="majorBidi" w:hAnsiTheme="majorBidi" w:cstheme="majorBidi"/>
                <w:szCs w:val="24"/>
                <w:lang w:val="es-ES"/>
              </w:rPr>
              <w:br/>
            </w:r>
            <w:hyperlink r:id="rId91" w:history="1">
              <w:r w:rsidRPr="00D2027A">
                <w:rPr>
                  <w:rStyle w:val="Hyperlink"/>
                  <w:rFonts w:asciiTheme="majorBidi" w:hAnsiTheme="majorBidi" w:cstheme="majorBidi"/>
                  <w:szCs w:val="24"/>
                  <w:lang w:val="es-ES"/>
                </w:rPr>
                <w:t>Doc. 431</w:t>
              </w:r>
            </w:hyperlink>
          </w:p>
        </w:tc>
        <w:tc>
          <w:tcPr>
            <w:tcW w:w="2312" w:type="pct"/>
          </w:tcPr>
          <w:p w14:paraId="73E2A6BE" w14:textId="77777777" w:rsidR="00967792" w:rsidRPr="00743DCD" w:rsidRDefault="00967792" w:rsidP="00B53355">
            <w:pPr>
              <w:pStyle w:val="Heading1"/>
              <w:spacing w:before="40" w:after="40"/>
              <w:outlineLvl w:val="0"/>
              <w:rPr>
                <w:sz w:val="22"/>
                <w:lang w:val="es-ES"/>
              </w:rPr>
            </w:pPr>
            <w:r w:rsidRPr="00743DCD">
              <w:rPr>
                <w:sz w:val="22"/>
                <w:lang w:val="es-ES"/>
              </w:rPr>
              <w:t>7</w:t>
            </w:r>
            <w:r w:rsidRPr="00743DCD">
              <w:rPr>
                <w:sz w:val="22"/>
                <w:lang w:val="es-ES"/>
              </w:rPr>
              <w:tab/>
              <w:t>Séptimo Informe de la Comisión 5 (Documento 345)</w:t>
            </w:r>
          </w:p>
          <w:p w14:paraId="5923BEAF" w14:textId="1B633D91" w:rsidR="00967792" w:rsidRPr="00743DCD" w:rsidRDefault="00967792" w:rsidP="00B53355">
            <w:pPr>
              <w:spacing w:before="40" w:after="40"/>
              <w:rPr>
                <w:sz w:val="22"/>
                <w:lang w:val="es-ES"/>
              </w:rPr>
            </w:pPr>
            <w:r w:rsidRPr="00743DCD">
              <w:rPr>
                <w:sz w:val="22"/>
                <w:lang w:val="es-ES"/>
              </w:rPr>
              <w:t>7.1</w:t>
            </w:r>
            <w:r w:rsidRPr="00743DCD">
              <w:rPr>
                <w:sz w:val="22"/>
                <w:lang w:val="es-ES"/>
              </w:rPr>
              <w:tab/>
              <w:t xml:space="preserve">El </w:t>
            </w:r>
            <w:r w:rsidRPr="00743DCD">
              <w:rPr>
                <w:b/>
                <w:sz w:val="22"/>
                <w:lang w:val="es-ES"/>
              </w:rPr>
              <w:t>Presidente de la Comisión 5</w:t>
            </w:r>
            <w:r w:rsidRPr="00743DCD">
              <w:rPr>
                <w:sz w:val="22"/>
                <w:lang w:val="es-ES"/>
              </w:rPr>
              <w:t xml:space="preserve"> presenta el </w:t>
            </w:r>
            <w:hyperlink r:id="rId92" w:history="1">
              <w:r w:rsidRPr="00743DCD">
                <w:rPr>
                  <w:rStyle w:val="Hyperlink"/>
                  <w:sz w:val="22"/>
                  <w:lang w:val="es-ES"/>
                </w:rPr>
                <w:t>Documento 345</w:t>
              </w:r>
            </w:hyperlink>
            <w:r w:rsidRPr="00743DCD">
              <w:rPr>
                <w:sz w:val="22"/>
                <w:lang w:val="es-ES"/>
              </w:rPr>
              <w:t xml:space="preserve">, que contiene las conclusiones de esta Comisión en relación con las cuestiones que contempla la Resolución </w:t>
            </w:r>
            <w:r w:rsidRPr="0086363C">
              <w:rPr>
                <w:b/>
                <w:bCs/>
                <w:sz w:val="22"/>
                <w:lang w:val="es-ES"/>
              </w:rPr>
              <w:t>547 (CMR-03)</w:t>
            </w:r>
            <w:r w:rsidRPr="00743DCD">
              <w:rPr>
                <w:sz w:val="22"/>
                <w:lang w:val="es-ES"/>
              </w:rPr>
              <w:t xml:space="preserve">. La Comisión convino además en las medidas que habrá de adoptar la Oficina respecto a la actualización de los indicativos de país para dos países en los Apéndices </w:t>
            </w:r>
            <w:r w:rsidRPr="0086363C">
              <w:rPr>
                <w:b/>
                <w:bCs/>
                <w:sz w:val="22"/>
                <w:lang w:val="es-ES"/>
              </w:rPr>
              <w:t>30</w:t>
            </w:r>
            <w:r w:rsidRPr="00743DCD">
              <w:rPr>
                <w:sz w:val="22"/>
                <w:lang w:val="es-ES"/>
              </w:rPr>
              <w:t xml:space="preserve"> y </w:t>
            </w:r>
            <w:r w:rsidRPr="0086363C">
              <w:rPr>
                <w:b/>
                <w:bCs/>
                <w:sz w:val="22"/>
                <w:lang w:val="es-ES"/>
              </w:rPr>
              <w:t>30A</w:t>
            </w:r>
            <w:r w:rsidRPr="00743DCD">
              <w:rPr>
                <w:sz w:val="22"/>
                <w:lang w:val="es-ES"/>
              </w:rPr>
              <w:t>.</w:t>
            </w:r>
          </w:p>
          <w:p w14:paraId="4B571C8F" w14:textId="32AD2977" w:rsidR="00967792" w:rsidRPr="00743DCD" w:rsidRDefault="00967792" w:rsidP="00B53355">
            <w:pPr>
              <w:spacing w:before="40" w:after="40"/>
              <w:rPr>
                <w:sz w:val="22"/>
                <w:lang w:val="es-ES"/>
              </w:rPr>
            </w:pPr>
            <w:r w:rsidRPr="00743DCD">
              <w:rPr>
                <w:sz w:val="22"/>
                <w:lang w:val="es-ES"/>
              </w:rPr>
              <w:t>7.2</w:t>
            </w:r>
            <w:r w:rsidRPr="00743DCD">
              <w:rPr>
                <w:sz w:val="22"/>
                <w:lang w:val="es-ES"/>
              </w:rPr>
              <w:tab/>
              <w:t xml:space="preserve">Se </w:t>
            </w:r>
            <w:r w:rsidRPr="00743DCD">
              <w:rPr>
                <w:b/>
                <w:bCs/>
                <w:sz w:val="22"/>
                <w:lang w:val="es-ES"/>
              </w:rPr>
              <w:t xml:space="preserve">aprueban </w:t>
            </w:r>
            <w:r w:rsidRPr="00743DCD">
              <w:rPr>
                <w:sz w:val="22"/>
                <w:lang w:val="es-ES"/>
              </w:rPr>
              <w:t xml:space="preserve">las conclusiones que figuran en el </w:t>
            </w:r>
            <w:hyperlink r:id="rId93" w:history="1">
              <w:r w:rsidR="00743DCD" w:rsidRPr="00743DCD">
                <w:rPr>
                  <w:rStyle w:val="Hyperlink"/>
                  <w:sz w:val="22"/>
                  <w:lang w:val="es-ES"/>
                </w:rPr>
                <w:t>Documento 345</w:t>
              </w:r>
            </w:hyperlink>
            <w:r w:rsidRPr="00743DCD">
              <w:rPr>
                <w:sz w:val="22"/>
                <w:lang w:val="es-ES"/>
              </w:rPr>
              <w:t>.</w:t>
            </w:r>
          </w:p>
          <w:p w14:paraId="67EF83BF" w14:textId="77777777" w:rsidR="00967792" w:rsidRPr="00743DCD" w:rsidRDefault="00967792" w:rsidP="00B53355">
            <w:pPr>
              <w:spacing w:before="40" w:after="40"/>
              <w:jc w:val="both"/>
              <w:rPr>
                <w:rFonts w:asciiTheme="majorBidi" w:hAnsiTheme="majorBidi" w:cstheme="majorBidi"/>
                <w:sz w:val="22"/>
                <w:lang w:val="es-ES"/>
              </w:rPr>
            </w:pPr>
            <w:r w:rsidRPr="00743DCD">
              <w:rPr>
                <w:rFonts w:asciiTheme="majorBidi" w:hAnsiTheme="majorBidi" w:cstheme="majorBidi"/>
                <w:sz w:val="22"/>
                <w:lang w:val="es-ES"/>
              </w:rPr>
              <w:t>Es decir,</w:t>
            </w:r>
          </w:p>
          <w:p w14:paraId="6A9E2282" w14:textId="3A4F94E3" w:rsidR="00967792" w:rsidRPr="00B53355" w:rsidRDefault="00967792" w:rsidP="00B53355">
            <w:pPr>
              <w:spacing w:before="40" w:after="40"/>
              <w:jc w:val="both"/>
              <w:rPr>
                <w:rFonts w:asciiTheme="majorBidi" w:hAnsiTheme="majorBidi" w:cstheme="majorBidi"/>
                <w:sz w:val="22"/>
                <w:lang w:val="es-ES"/>
              </w:rPr>
            </w:pPr>
            <w:r w:rsidRPr="00743DCD">
              <w:rPr>
                <w:rFonts w:asciiTheme="majorBidi" w:hAnsiTheme="majorBidi" w:cstheme="majorBidi"/>
                <w:sz w:val="22"/>
                <w:lang w:val="es-ES"/>
              </w:rPr>
              <w:t>«La Comisión 5 también recomienda que se encargue a la Oficina, por decisión que habrá de tomar la Plenaria de la CMR-07, la tarea de actualizar los indicativos de país sustituyendo SCN por KNA, para la Federación de Saint Kitts y Nevis y SCG (Serbia y Montenegro) por SRB (República de Serbia, continuadora del Estado de Serbia y Montenegro) en los Apéndices</w:t>
            </w:r>
            <w:r w:rsidR="00743DCD">
              <w:rPr>
                <w:rFonts w:asciiTheme="majorBidi" w:hAnsiTheme="majorBidi" w:cstheme="majorBidi"/>
                <w:sz w:val="22"/>
                <w:lang w:val="es-ES"/>
              </w:rPr>
              <w:t> </w:t>
            </w:r>
            <w:r w:rsidRPr="00743DCD">
              <w:rPr>
                <w:rFonts w:asciiTheme="majorBidi" w:hAnsiTheme="majorBidi" w:cstheme="majorBidi"/>
                <w:b/>
                <w:bCs/>
                <w:sz w:val="22"/>
                <w:lang w:val="es-ES"/>
              </w:rPr>
              <w:t>30</w:t>
            </w:r>
            <w:r w:rsidRPr="00743DCD">
              <w:rPr>
                <w:rFonts w:asciiTheme="majorBidi" w:hAnsiTheme="majorBidi" w:cstheme="majorBidi"/>
                <w:sz w:val="22"/>
                <w:lang w:val="es-ES"/>
              </w:rPr>
              <w:t xml:space="preserve"> y </w:t>
            </w:r>
            <w:r w:rsidRPr="00743DCD">
              <w:rPr>
                <w:rFonts w:asciiTheme="majorBidi" w:hAnsiTheme="majorBidi" w:cstheme="majorBidi"/>
                <w:b/>
                <w:bCs/>
                <w:sz w:val="22"/>
                <w:lang w:val="es-ES"/>
              </w:rPr>
              <w:t>30A</w:t>
            </w:r>
            <w:r w:rsidRPr="00743DCD">
              <w:rPr>
                <w:rFonts w:asciiTheme="majorBidi" w:hAnsiTheme="majorBidi" w:cstheme="majorBidi"/>
                <w:sz w:val="22"/>
                <w:lang w:val="es-ES"/>
              </w:rPr>
              <w:t>.</w:t>
            </w:r>
          </w:p>
          <w:p w14:paraId="164D09BD" w14:textId="1A8C0760" w:rsidR="00967792" w:rsidRPr="00743DCD" w:rsidRDefault="00967792" w:rsidP="00B53355">
            <w:pPr>
              <w:spacing w:before="40" w:after="40"/>
              <w:jc w:val="both"/>
              <w:rPr>
                <w:rFonts w:asciiTheme="majorBidi" w:hAnsiTheme="majorBidi" w:cstheme="majorBidi"/>
                <w:sz w:val="22"/>
                <w:lang w:val="es-ES"/>
              </w:rPr>
            </w:pPr>
            <w:r w:rsidRPr="00743DCD">
              <w:rPr>
                <w:rFonts w:asciiTheme="majorBidi" w:hAnsiTheme="majorBidi" w:cstheme="majorBidi"/>
                <w:sz w:val="22"/>
                <w:lang w:val="es-ES"/>
              </w:rPr>
              <w:t>Se solicita a la Plenaria que apruebe esta propuesta de la Comisión»</w:t>
            </w:r>
            <w:r w:rsidR="0086363C" w:rsidRPr="00743DCD">
              <w:rPr>
                <w:rFonts w:asciiTheme="majorBidi" w:hAnsiTheme="majorBidi" w:cstheme="majorBidi"/>
                <w:sz w:val="22"/>
                <w:lang w:val="es-ES"/>
              </w:rPr>
              <w:t>.</w:t>
            </w:r>
          </w:p>
        </w:tc>
        <w:tc>
          <w:tcPr>
            <w:tcW w:w="1548" w:type="pct"/>
          </w:tcPr>
          <w:p w14:paraId="687F57DF" w14:textId="77777777" w:rsidR="00967792" w:rsidRPr="00266695" w:rsidRDefault="00967792" w:rsidP="00B53355">
            <w:pPr>
              <w:pStyle w:val="Tabletext"/>
              <w:rPr>
                <w:lang w:val="es-ES"/>
              </w:rPr>
            </w:pPr>
          </w:p>
        </w:tc>
      </w:tr>
      <w:tr w:rsidR="00967792" w:rsidRPr="00D2027A" w14:paraId="50B14B55" w14:textId="77777777" w:rsidTr="00924C8B">
        <w:trPr>
          <w:jc w:val="center"/>
        </w:trPr>
        <w:tc>
          <w:tcPr>
            <w:tcW w:w="183" w:type="pct"/>
          </w:tcPr>
          <w:p w14:paraId="51DA3966" w14:textId="77777777" w:rsidR="00967792" w:rsidRPr="00A616CA" w:rsidRDefault="00967792" w:rsidP="00B53355">
            <w:pPr>
              <w:pStyle w:val="Tabletext"/>
              <w:rPr>
                <w:lang w:val="es-ES"/>
              </w:rPr>
            </w:pPr>
            <w:r w:rsidRPr="00A616CA">
              <w:rPr>
                <w:lang w:val="es-ES"/>
              </w:rPr>
              <w:t>22</w:t>
            </w:r>
          </w:p>
        </w:tc>
        <w:tc>
          <w:tcPr>
            <w:tcW w:w="434" w:type="pct"/>
          </w:tcPr>
          <w:p w14:paraId="3BD8EF92" w14:textId="77777777" w:rsidR="00967792" w:rsidRPr="00A616CA" w:rsidRDefault="00967792" w:rsidP="00B53355">
            <w:pPr>
              <w:pStyle w:val="Tabletext"/>
              <w:rPr>
                <w:lang w:val="es-ES"/>
              </w:rPr>
            </w:pPr>
            <w:r w:rsidRPr="00A616CA">
              <w:rPr>
                <w:lang w:val="es-ES"/>
              </w:rPr>
              <w:t>CMR-07</w:t>
            </w:r>
          </w:p>
        </w:tc>
        <w:tc>
          <w:tcPr>
            <w:tcW w:w="523" w:type="pct"/>
          </w:tcPr>
          <w:p w14:paraId="163FD621" w14:textId="20E9FD3C" w:rsidR="00967792" w:rsidRPr="00D2027A" w:rsidRDefault="00967792" w:rsidP="00B53355">
            <w:pPr>
              <w:pStyle w:val="Tabletext"/>
              <w:rPr>
                <w:rFonts w:asciiTheme="majorBidi" w:hAnsiTheme="majorBidi" w:cstheme="majorBidi"/>
                <w:szCs w:val="24"/>
                <w:lang w:val="es-ES"/>
              </w:rPr>
            </w:pPr>
            <w:r w:rsidRPr="00D2027A">
              <w:rPr>
                <w:rFonts w:asciiTheme="majorBidi" w:hAnsiTheme="majorBidi" w:cstheme="majorBidi"/>
                <w:szCs w:val="24"/>
                <w:lang w:val="es-ES"/>
              </w:rPr>
              <w:t>10ª Plenaria</w:t>
            </w:r>
            <w:r w:rsidR="00743DCD">
              <w:rPr>
                <w:rFonts w:asciiTheme="majorBidi" w:hAnsiTheme="majorBidi" w:cstheme="majorBidi"/>
                <w:szCs w:val="24"/>
                <w:lang w:val="es-ES"/>
              </w:rPr>
              <w:br/>
            </w:r>
            <w:hyperlink r:id="rId94" w:history="1">
              <w:r w:rsidRPr="00D2027A">
                <w:rPr>
                  <w:rStyle w:val="Hyperlink"/>
                  <w:rFonts w:asciiTheme="majorBidi" w:hAnsiTheme="majorBidi" w:cstheme="majorBidi"/>
                  <w:szCs w:val="24"/>
                  <w:lang w:val="es-ES"/>
                </w:rPr>
                <w:t>Doc. 432</w:t>
              </w:r>
            </w:hyperlink>
          </w:p>
        </w:tc>
        <w:tc>
          <w:tcPr>
            <w:tcW w:w="2312" w:type="pct"/>
          </w:tcPr>
          <w:p w14:paraId="2A065B26" w14:textId="77777777" w:rsidR="00967792" w:rsidRPr="00743DCD" w:rsidRDefault="00967792" w:rsidP="00B53355">
            <w:pPr>
              <w:pStyle w:val="Heading1"/>
              <w:spacing w:before="40" w:after="40"/>
              <w:outlineLvl w:val="0"/>
              <w:rPr>
                <w:sz w:val="22"/>
                <w:lang w:val="es-ES"/>
              </w:rPr>
            </w:pPr>
            <w:r w:rsidRPr="00743DCD">
              <w:rPr>
                <w:sz w:val="22"/>
                <w:lang w:val="es-ES"/>
              </w:rPr>
              <w:t>2</w:t>
            </w:r>
            <w:r w:rsidRPr="00743DCD">
              <w:rPr>
                <w:sz w:val="22"/>
                <w:lang w:val="es-ES"/>
              </w:rPr>
              <w:tab/>
              <w:t>Décimo Informe de la Comisión 5 (Documento 378)</w:t>
            </w:r>
          </w:p>
          <w:p w14:paraId="50E38C42" w14:textId="6E8CCB44" w:rsidR="00967792" w:rsidRPr="00743DCD" w:rsidRDefault="00967792" w:rsidP="00B53355">
            <w:pPr>
              <w:spacing w:before="40" w:after="40"/>
              <w:rPr>
                <w:sz w:val="22"/>
                <w:lang w:val="es-ES"/>
              </w:rPr>
            </w:pPr>
            <w:r w:rsidRPr="00743DCD">
              <w:rPr>
                <w:sz w:val="22"/>
                <w:lang w:val="es-ES"/>
              </w:rPr>
              <w:t>2.1</w:t>
            </w:r>
            <w:r w:rsidRPr="00743DCD">
              <w:rPr>
                <w:sz w:val="22"/>
                <w:lang w:val="es-ES"/>
              </w:rPr>
              <w:tab/>
              <w:t xml:space="preserve">El </w:t>
            </w:r>
            <w:r w:rsidRPr="00743DCD">
              <w:rPr>
                <w:b/>
                <w:sz w:val="22"/>
                <w:lang w:val="es-ES"/>
              </w:rPr>
              <w:t>Presidente de la Comisión 5</w:t>
            </w:r>
            <w:r w:rsidRPr="00743DCD">
              <w:rPr>
                <w:sz w:val="22"/>
                <w:lang w:val="es-ES"/>
              </w:rPr>
              <w:t xml:space="preserve"> presenta el Documento 378, que contempla los asuntos que figuran en la Parte 2 del Informe del Director (</w:t>
            </w:r>
            <w:hyperlink r:id="rId95" w:history="1">
              <w:r w:rsidRPr="00743DCD">
                <w:rPr>
                  <w:rStyle w:val="Hyperlink"/>
                  <w:sz w:val="22"/>
                  <w:lang w:val="es-ES"/>
                </w:rPr>
                <w:t>Addéndum 2 al Documento 4</w:t>
              </w:r>
            </w:hyperlink>
            <w:r w:rsidRPr="00743DCD">
              <w:rPr>
                <w:sz w:val="22"/>
                <w:lang w:val="es-ES"/>
              </w:rPr>
              <w:t>) que han sido considerados en el marco del punto 7.1 del orden del día de la Conferencia.</w:t>
            </w:r>
          </w:p>
          <w:p w14:paraId="44889672" w14:textId="77777777" w:rsidR="00967792" w:rsidRPr="00743DCD" w:rsidRDefault="00967792" w:rsidP="00B53355">
            <w:pPr>
              <w:spacing w:before="40" w:after="40"/>
              <w:rPr>
                <w:sz w:val="22"/>
                <w:lang w:val="es-ES"/>
              </w:rPr>
            </w:pPr>
            <w:r w:rsidRPr="00743DCD">
              <w:rPr>
                <w:sz w:val="22"/>
                <w:lang w:val="es-ES"/>
              </w:rPr>
              <w:t>2.2</w:t>
            </w:r>
            <w:r w:rsidRPr="00743DCD">
              <w:rPr>
                <w:sz w:val="22"/>
                <w:lang w:val="es-ES"/>
              </w:rPr>
              <w:tab/>
              <w:t xml:space="preserve">El </w:t>
            </w:r>
            <w:r w:rsidRPr="00743DCD">
              <w:rPr>
                <w:b/>
                <w:sz w:val="22"/>
                <w:lang w:val="es-ES"/>
              </w:rPr>
              <w:t>delegado de la República Islámica del Irán</w:t>
            </w:r>
            <w:r w:rsidRPr="00743DCD">
              <w:rPr>
                <w:sz w:val="22"/>
                <w:lang w:val="es-ES"/>
              </w:rPr>
              <w:t xml:space="preserve"> dice que el número </w:t>
            </w:r>
            <w:r w:rsidRPr="00743DCD">
              <w:rPr>
                <w:b/>
                <w:bCs/>
                <w:sz w:val="22"/>
                <w:lang w:val="es-ES"/>
              </w:rPr>
              <w:t>9.11A</w:t>
            </w:r>
            <w:r w:rsidRPr="00743DCD">
              <w:rPr>
                <w:sz w:val="22"/>
                <w:lang w:val="es-ES"/>
              </w:rPr>
              <w:t xml:space="preserve"> ha sido tema de numerosos debates largos y acalorados en la presente Conferencia. Si bien ha respaldado la decisión de la Oficina de señalar el asunto a la atención de la Conferencia, se ha llegado a la conclusión de que no era necesario introducir modificaciones en las correspondientes Reglas de Procedimiento para evitar que entren en conflicto con los principios contenidos en el § 1 del Apéndice 5 del Reglamento de Radiocomunicaciones. Las Reglas de Procedimiento y el Artículo </w:t>
            </w:r>
            <w:r w:rsidRPr="00743DCD">
              <w:rPr>
                <w:b/>
                <w:bCs/>
                <w:sz w:val="22"/>
                <w:lang w:val="es-ES"/>
              </w:rPr>
              <w:t>13</w:t>
            </w:r>
            <w:r w:rsidRPr="00743DCD">
              <w:rPr>
                <w:sz w:val="22"/>
                <w:lang w:val="es-ES"/>
              </w:rPr>
              <w:t xml:space="preserve"> deben seguir aplicándose. El orador propone la supresión de la segunda frase del § 1.3 e indica que, dado </w:t>
            </w:r>
            <w:r w:rsidRPr="00743DCD">
              <w:rPr>
                <w:sz w:val="22"/>
                <w:lang w:val="es-ES"/>
              </w:rPr>
              <w:lastRenderedPageBreak/>
              <w:t>que ya se han destinado considerables recursos a esta Cuestión, resulta contraproducente invitar a un nuevo examen de la misma.</w:t>
            </w:r>
          </w:p>
          <w:p w14:paraId="47005E6B" w14:textId="2A5EE20C" w:rsidR="00967792" w:rsidRPr="00743DCD" w:rsidRDefault="00967792" w:rsidP="00B53355">
            <w:pPr>
              <w:spacing w:before="40" w:after="40"/>
              <w:rPr>
                <w:sz w:val="22"/>
                <w:lang w:val="es-ES"/>
              </w:rPr>
            </w:pPr>
            <w:r w:rsidRPr="00743DCD">
              <w:rPr>
                <w:sz w:val="22"/>
                <w:lang w:val="es-ES"/>
              </w:rPr>
              <w:t>2.3</w:t>
            </w:r>
            <w:r w:rsidRPr="00743DCD">
              <w:rPr>
                <w:sz w:val="22"/>
                <w:lang w:val="es-ES"/>
              </w:rPr>
              <w:tab/>
              <w:t xml:space="preserve">El </w:t>
            </w:r>
            <w:r w:rsidRPr="00743DCD">
              <w:rPr>
                <w:b/>
                <w:sz w:val="22"/>
                <w:lang w:val="es-ES"/>
              </w:rPr>
              <w:t>delegado de la República Árabe Siria</w:t>
            </w:r>
            <w:r w:rsidRPr="00743DCD">
              <w:rPr>
                <w:sz w:val="22"/>
                <w:lang w:val="es-ES"/>
              </w:rPr>
              <w:t xml:space="preserve"> recuerda que en la CMR</w:t>
            </w:r>
            <w:r w:rsidRPr="00743DCD">
              <w:rPr>
                <w:sz w:val="22"/>
                <w:lang w:val="es-ES"/>
              </w:rPr>
              <w:noBreakHyphen/>
              <w:t>03 el Grupo de Estados Árabes había propuesto modificar el Artículo </w:t>
            </w:r>
            <w:r w:rsidRPr="00743DCD">
              <w:rPr>
                <w:b/>
                <w:bCs/>
                <w:sz w:val="22"/>
                <w:lang w:val="es-ES"/>
              </w:rPr>
              <w:t>13</w:t>
            </w:r>
            <w:r w:rsidRPr="00743DCD">
              <w:rPr>
                <w:sz w:val="22"/>
                <w:lang w:val="es-ES"/>
              </w:rPr>
              <w:t xml:space="preserve"> del Reglamento de Radiocomunicaciones indicando que, a partir del 1 de enero de 2005, las Reglas de Procedimiento debían convertirse en textos reglamentarios. Esa propuesta ha sido aceptada y queda contemplada en los números </w:t>
            </w:r>
            <w:r w:rsidRPr="00743DCD">
              <w:rPr>
                <w:b/>
                <w:bCs/>
                <w:sz w:val="22"/>
                <w:lang w:val="es-ES"/>
              </w:rPr>
              <w:t>13.0.1</w:t>
            </w:r>
            <w:r w:rsidRPr="00743DCD">
              <w:rPr>
                <w:sz w:val="22"/>
                <w:lang w:val="es-ES"/>
              </w:rPr>
              <w:t xml:space="preserve"> y </w:t>
            </w:r>
            <w:r w:rsidRPr="00743DCD">
              <w:rPr>
                <w:b/>
                <w:bCs/>
                <w:sz w:val="22"/>
                <w:lang w:val="es-ES"/>
              </w:rPr>
              <w:t>13.0.2</w:t>
            </w:r>
            <w:r w:rsidRPr="00743DCD">
              <w:rPr>
                <w:sz w:val="22"/>
                <w:lang w:val="es-ES"/>
              </w:rPr>
              <w:t xml:space="preserve"> del Reglamento. Aunque no formula ninguna objeción con respecto a la supresión de la segunda frase del § 1.3 del </w:t>
            </w:r>
            <w:hyperlink r:id="rId96" w:history="1">
              <w:r w:rsidRPr="00743DCD">
                <w:rPr>
                  <w:rStyle w:val="Hyperlink"/>
                  <w:sz w:val="22"/>
                  <w:lang w:val="es-ES"/>
                </w:rPr>
                <w:t>Documento 378</w:t>
              </w:r>
            </w:hyperlink>
            <w:r w:rsidRPr="00743DCD">
              <w:rPr>
                <w:sz w:val="22"/>
                <w:lang w:val="es-ES"/>
              </w:rPr>
              <w:t>, hace hincapié en que no debería afectar la aplicación de los números </w:t>
            </w:r>
            <w:r w:rsidRPr="00924C8B">
              <w:rPr>
                <w:b/>
                <w:bCs/>
                <w:sz w:val="22"/>
                <w:lang w:val="es-ES"/>
              </w:rPr>
              <w:t>13.0.1</w:t>
            </w:r>
            <w:r w:rsidRPr="00743DCD">
              <w:rPr>
                <w:sz w:val="22"/>
                <w:lang w:val="es-ES"/>
              </w:rPr>
              <w:t xml:space="preserve"> y </w:t>
            </w:r>
            <w:r w:rsidRPr="00924C8B">
              <w:rPr>
                <w:b/>
                <w:bCs/>
                <w:sz w:val="22"/>
                <w:lang w:val="es-ES"/>
              </w:rPr>
              <w:t>13.0.2</w:t>
            </w:r>
            <w:r w:rsidRPr="00743DCD">
              <w:rPr>
                <w:sz w:val="22"/>
                <w:lang w:val="es-ES"/>
              </w:rPr>
              <w:t>. Se debe respetar el proceso cuya decisión se ha adoptado en la CMR. Su Administración ha estado siempre dispuesta a considerar las propuestas formuladas por la Oficina y la Junta del Reglamento de Radiocomunicaciones.</w:t>
            </w:r>
          </w:p>
          <w:p w14:paraId="743301E4" w14:textId="1512A108" w:rsidR="00967792" w:rsidRPr="00743DCD" w:rsidRDefault="00967792" w:rsidP="00B53355">
            <w:pPr>
              <w:spacing w:before="40" w:after="40"/>
              <w:rPr>
                <w:sz w:val="22"/>
                <w:lang w:val="es-ES"/>
              </w:rPr>
            </w:pPr>
            <w:r w:rsidRPr="00743DCD">
              <w:rPr>
                <w:sz w:val="22"/>
                <w:lang w:val="es-ES"/>
              </w:rPr>
              <w:t>2.4</w:t>
            </w:r>
            <w:r w:rsidRPr="00743DCD">
              <w:rPr>
                <w:sz w:val="22"/>
                <w:lang w:val="es-ES"/>
              </w:rPr>
              <w:tab/>
              <w:t xml:space="preserve">Se </w:t>
            </w:r>
            <w:r w:rsidRPr="00743DCD">
              <w:rPr>
                <w:b/>
                <w:sz w:val="22"/>
                <w:lang w:val="es-ES"/>
              </w:rPr>
              <w:t xml:space="preserve">aprueban </w:t>
            </w:r>
            <w:r w:rsidRPr="00743DCD">
              <w:rPr>
                <w:sz w:val="22"/>
                <w:lang w:val="es-ES"/>
              </w:rPr>
              <w:t xml:space="preserve">las conclusiones contenidas en el </w:t>
            </w:r>
            <w:hyperlink r:id="rId97" w:history="1">
              <w:r w:rsidRPr="00743DCD">
                <w:rPr>
                  <w:rStyle w:val="Hyperlink"/>
                  <w:sz w:val="22"/>
                  <w:lang w:val="es-ES"/>
                </w:rPr>
                <w:t>Documento 378</w:t>
              </w:r>
            </w:hyperlink>
            <w:r w:rsidRPr="00743DCD">
              <w:rPr>
                <w:sz w:val="22"/>
                <w:lang w:val="es-ES"/>
              </w:rPr>
              <w:t>, con la supresión propuesta por la República Islámica del Irán.</w:t>
            </w:r>
          </w:p>
        </w:tc>
        <w:tc>
          <w:tcPr>
            <w:tcW w:w="1548" w:type="pct"/>
          </w:tcPr>
          <w:p w14:paraId="37878FB5" w14:textId="1B5D2D7E" w:rsidR="00967792" w:rsidRPr="00D2027A" w:rsidRDefault="00967792" w:rsidP="00B53355">
            <w:pPr>
              <w:pStyle w:val="Tabletext"/>
              <w:rPr>
                <w:rFonts w:asciiTheme="majorBidi" w:hAnsiTheme="majorBidi" w:cstheme="majorBidi"/>
                <w:szCs w:val="24"/>
                <w:lang w:val="es-ES" w:eastAsia="ja-JP"/>
              </w:rPr>
            </w:pPr>
            <w:r w:rsidRPr="00D2027A">
              <w:rPr>
                <w:rFonts w:asciiTheme="majorBidi" w:hAnsiTheme="majorBidi" w:cstheme="majorBidi"/>
                <w:szCs w:val="24"/>
                <w:lang w:val="es-ES" w:eastAsia="ja-JP"/>
              </w:rPr>
              <w:lastRenderedPageBreak/>
              <w:t xml:space="preserve">La aplicación de los números </w:t>
            </w:r>
            <w:r w:rsidRPr="00D2027A">
              <w:rPr>
                <w:rFonts w:asciiTheme="majorBidi" w:hAnsiTheme="majorBidi" w:cstheme="majorBidi"/>
                <w:b/>
                <w:bCs/>
                <w:szCs w:val="24"/>
                <w:lang w:val="es-ES" w:eastAsia="ja-JP"/>
              </w:rPr>
              <w:t>5.219</w:t>
            </w:r>
            <w:r w:rsidRPr="00D2027A">
              <w:rPr>
                <w:rFonts w:asciiTheme="majorBidi" w:hAnsiTheme="majorBidi" w:cstheme="majorBidi"/>
                <w:szCs w:val="24"/>
                <w:lang w:val="es-ES" w:eastAsia="ja-JP"/>
              </w:rPr>
              <w:t xml:space="preserve">, </w:t>
            </w:r>
            <w:r w:rsidRPr="00D2027A">
              <w:rPr>
                <w:rFonts w:asciiTheme="majorBidi" w:hAnsiTheme="majorBidi" w:cstheme="majorBidi"/>
                <w:b/>
                <w:bCs/>
                <w:szCs w:val="24"/>
                <w:lang w:val="es-ES" w:eastAsia="ja-JP"/>
              </w:rPr>
              <w:t>5.220</w:t>
            </w:r>
            <w:r w:rsidRPr="00D2027A">
              <w:rPr>
                <w:rFonts w:asciiTheme="majorBidi" w:hAnsiTheme="majorBidi" w:cstheme="majorBidi"/>
                <w:szCs w:val="24"/>
                <w:lang w:val="es-ES" w:eastAsia="ja-JP"/>
              </w:rPr>
              <w:t xml:space="preserve"> y disposiciones similares, el examen de asignaciones de frecuencia a un enlace entre </w:t>
            </w:r>
            <w:r w:rsidRPr="00266695">
              <w:rPr>
                <w:lang w:val="es-ES"/>
              </w:rPr>
              <w:t>satélites</w:t>
            </w:r>
            <w:r w:rsidRPr="00D2027A">
              <w:rPr>
                <w:rFonts w:asciiTheme="majorBidi" w:hAnsiTheme="majorBidi" w:cstheme="majorBidi"/>
                <w:szCs w:val="24"/>
                <w:lang w:val="es-ES" w:eastAsia="ja-JP"/>
              </w:rPr>
              <w:t xml:space="preserve"> de una estación espacial geoestacionaria que se comunica con una estación espacial no geoestacionaria siguen siendo relevantes</w:t>
            </w:r>
            <w:r w:rsidR="00D156CD">
              <w:rPr>
                <w:rFonts w:asciiTheme="majorBidi" w:hAnsiTheme="majorBidi" w:cstheme="majorBidi"/>
                <w:szCs w:val="24"/>
                <w:lang w:val="es-ES" w:eastAsia="ja-JP"/>
              </w:rPr>
              <w:t>.</w:t>
            </w:r>
          </w:p>
          <w:p w14:paraId="66A0D7E9" w14:textId="77777777" w:rsidR="00967792" w:rsidRPr="00D2027A" w:rsidRDefault="00967792" w:rsidP="00B53355">
            <w:pPr>
              <w:pStyle w:val="Tabletext"/>
              <w:rPr>
                <w:rFonts w:asciiTheme="majorBidi" w:hAnsiTheme="majorBidi" w:cstheme="majorBidi"/>
                <w:szCs w:val="24"/>
                <w:lang w:val="es-ES" w:eastAsia="ja-JP"/>
              </w:rPr>
            </w:pPr>
            <w:r w:rsidRPr="00D2027A">
              <w:rPr>
                <w:rFonts w:asciiTheme="majorBidi" w:hAnsiTheme="majorBidi" w:cstheme="majorBidi"/>
                <w:szCs w:val="24"/>
                <w:lang w:val="es-ES" w:eastAsia="ja-JP"/>
              </w:rPr>
              <w:t>Se ha aplicado el número </w:t>
            </w:r>
            <w:r w:rsidRPr="00D2027A">
              <w:rPr>
                <w:rFonts w:asciiTheme="majorBidi" w:hAnsiTheme="majorBidi" w:cstheme="majorBidi"/>
                <w:b/>
                <w:bCs/>
                <w:szCs w:val="24"/>
                <w:lang w:val="es-ES" w:eastAsia="ja-JP"/>
              </w:rPr>
              <w:t>11.15</w:t>
            </w:r>
            <w:r w:rsidRPr="00D2027A">
              <w:rPr>
                <w:rFonts w:asciiTheme="majorBidi" w:hAnsiTheme="majorBidi" w:cstheme="majorBidi"/>
                <w:szCs w:val="24"/>
                <w:lang w:val="es-ES" w:eastAsia="ja-JP"/>
              </w:rPr>
              <w:t xml:space="preserve"> y la Resolución 55: aplicada</w:t>
            </w:r>
          </w:p>
          <w:p w14:paraId="53A73536" w14:textId="541109D3" w:rsidR="00967792" w:rsidRPr="00D2027A" w:rsidRDefault="00967792" w:rsidP="00B53355">
            <w:pPr>
              <w:pStyle w:val="Tabletext"/>
              <w:rPr>
                <w:rFonts w:asciiTheme="majorBidi" w:hAnsiTheme="majorBidi" w:cstheme="majorBidi"/>
                <w:b/>
                <w:bCs/>
                <w:i/>
                <w:iCs/>
                <w:szCs w:val="24"/>
                <w:lang w:val="es-ES"/>
              </w:rPr>
            </w:pPr>
            <w:r w:rsidRPr="00D2027A">
              <w:rPr>
                <w:rStyle w:val="Artref"/>
                <w:rFonts w:asciiTheme="majorBidi" w:hAnsiTheme="majorBidi" w:cstheme="majorBidi"/>
                <w:color w:val="000000"/>
                <w:szCs w:val="24"/>
                <w:lang w:val="es-ES"/>
              </w:rPr>
              <w:t xml:space="preserve">En la </w:t>
            </w:r>
            <w:r w:rsidRPr="00D2027A">
              <w:rPr>
                <w:rFonts w:asciiTheme="majorBidi" w:hAnsiTheme="majorBidi" w:cstheme="majorBidi"/>
                <w:szCs w:val="24"/>
                <w:lang w:val="es-ES"/>
              </w:rPr>
              <w:t>53ª </w:t>
            </w:r>
            <w:r w:rsidR="00D156CD">
              <w:rPr>
                <w:rFonts w:asciiTheme="majorBidi" w:hAnsiTheme="majorBidi" w:cstheme="majorBidi"/>
                <w:szCs w:val="24"/>
                <w:lang w:val="es-ES"/>
              </w:rPr>
              <w:t>r</w:t>
            </w:r>
            <w:r w:rsidRPr="00D2027A">
              <w:rPr>
                <w:rFonts w:asciiTheme="majorBidi" w:hAnsiTheme="majorBidi" w:cstheme="majorBidi"/>
                <w:szCs w:val="24"/>
                <w:lang w:val="es-ES"/>
              </w:rPr>
              <w:t>eunión de la RRB (22-26 de marzo de 2010) se adoptó la Regla de Procedimiento modificada relativa al número </w:t>
            </w:r>
            <w:r w:rsidRPr="00D2027A">
              <w:rPr>
                <w:rFonts w:asciiTheme="majorBidi" w:hAnsiTheme="majorBidi" w:cstheme="majorBidi"/>
                <w:b/>
                <w:bCs/>
                <w:szCs w:val="24"/>
                <w:lang w:val="es-ES"/>
              </w:rPr>
              <w:t>5.510</w:t>
            </w:r>
            <w:r w:rsidRPr="00D2027A">
              <w:rPr>
                <w:rFonts w:asciiTheme="majorBidi" w:hAnsiTheme="majorBidi" w:cstheme="majorBidi"/>
                <w:szCs w:val="24"/>
                <w:lang w:val="es-ES"/>
              </w:rPr>
              <w:t xml:space="preserve"> </w:t>
            </w:r>
            <w:r w:rsidRPr="00D2027A">
              <w:rPr>
                <w:rStyle w:val="Artref"/>
                <w:rFonts w:asciiTheme="majorBidi" w:hAnsiTheme="majorBidi" w:cstheme="majorBidi"/>
                <w:color w:val="000000"/>
                <w:szCs w:val="24"/>
                <w:lang w:val="es-ES"/>
              </w:rPr>
              <w:t>(</w:t>
            </w:r>
            <w:hyperlink r:id="rId98" w:history="1">
              <w:r w:rsidRPr="00D2027A">
                <w:rPr>
                  <w:rStyle w:val="Hyperlink"/>
                  <w:rFonts w:asciiTheme="majorBidi" w:hAnsiTheme="majorBidi" w:cstheme="majorBidi"/>
                  <w:szCs w:val="24"/>
                  <w:lang w:val="es-ES"/>
                </w:rPr>
                <w:t>CR/312</w:t>
              </w:r>
            </w:hyperlink>
            <w:r w:rsidRPr="00D2027A">
              <w:rPr>
                <w:rStyle w:val="Artref"/>
                <w:rFonts w:asciiTheme="majorBidi" w:hAnsiTheme="majorBidi" w:cstheme="majorBidi"/>
                <w:color w:val="000000"/>
                <w:szCs w:val="24"/>
                <w:lang w:val="es-ES"/>
              </w:rPr>
              <w:t>)</w:t>
            </w:r>
            <w:r w:rsidR="00D156CD">
              <w:rPr>
                <w:rStyle w:val="Artref"/>
                <w:rFonts w:asciiTheme="majorBidi" w:hAnsiTheme="majorBidi" w:cstheme="majorBidi"/>
                <w:color w:val="000000"/>
                <w:szCs w:val="24"/>
                <w:lang w:val="es-ES"/>
              </w:rPr>
              <w:t>.</w:t>
            </w:r>
          </w:p>
        </w:tc>
      </w:tr>
      <w:tr w:rsidR="00967792" w:rsidRPr="00D2027A" w14:paraId="4DAA3C5B" w14:textId="77777777" w:rsidTr="00924C8B">
        <w:trPr>
          <w:jc w:val="center"/>
        </w:trPr>
        <w:tc>
          <w:tcPr>
            <w:tcW w:w="183" w:type="pct"/>
          </w:tcPr>
          <w:p w14:paraId="3CA3D93D" w14:textId="77777777" w:rsidR="00967792" w:rsidRPr="00A616CA" w:rsidRDefault="00967792" w:rsidP="00B53355">
            <w:pPr>
              <w:pStyle w:val="Tabletext"/>
              <w:rPr>
                <w:lang w:val="es-ES"/>
              </w:rPr>
            </w:pPr>
            <w:r w:rsidRPr="00A616CA">
              <w:rPr>
                <w:lang w:val="es-ES"/>
              </w:rPr>
              <w:t>23</w:t>
            </w:r>
          </w:p>
        </w:tc>
        <w:tc>
          <w:tcPr>
            <w:tcW w:w="434" w:type="pct"/>
          </w:tcPr>
          <w:p w14:paraId="74D1DF6F" w14:textId="77777777" w:rsidR="00967792" w:rsidRPr="00A616CA" w:rsidRDefault="00967792" w:rsidP="00B53355">
            <w:pPr>
              <w:pStyle w:val="Tabletext"/>
              <w:rPr>
                <w:lang w:val="es-ES"/>
              </w:rPr>
            </w:pPr>
            <w:r w:rsidRPr="00A616CA">
              <w:rPr>
                <w:lang w:val="es-ES"/>
              </w:rPr>
              <w:t>CMR-07</w:t>
            </w:r>
          </w:p>
        </w:tc>
        <w:tc>
          <w:tcPr>
            <w:tcW w:w="523" w:type="pct"/>
          </w:tcPr>
          <w:p w14:paraId="6602E1B9" w14:textId="436D65B2" w:rsidR="00967792" w:rsidRPr="00D2027A" w:rsidRDefault="00967792" w:rsidP="00B53355">
            <w:pPr>
              <w:pStyle w:val="Tabletext"/>
              <w:rPr>
                <w:rFonts w:asciiTheme="majorBidi" w:hAnsiTheme="majorBidi" w:cstheme="majorBidi"/>
                <w:szCs w:val="24"/>
                <w:lang w:val="es-ES"/>
              </w:rPr>
            </w:pPr>
            <w:r w:rsidRPr="00D2027A">
              <w:rPr>
                <w:rFonts w:asciiTheme="majorBidi" w:hAnsiTheme="majorBidi" w:cstheme="majorBidi"/>
                <w:szCs w:val="24"/>
                <w:lang w:val="es-ES"/>
              </w:rPr>
              <w:t>10ª Plenaria</w:t>
            </w:r>
            <w:r w:rsidR="00F935B8">
              <w:rPr>
                <w:rFonts w:asciiTheme="majorBidi" w:hAnsiTheme="majorBidi" w:cstheme="majorBidi"/>
                <w:szCs w:val="24"/>
                <w:lang w:val="es-ES"/>
              </w:rPr>
              <w:br/>
            </w:r>
            <w:hyperlink r:id="rId99" w:history="1">
              <w:r w:rsidRPr="00D2027A">
                <w:rPr>
                  <w:rStyle w:val="Hyperlink"/>
                  <w:rFonts w:asciiTheme="majorBidi" w:hAnsiTheme="majorBidi" w:cstheme="majorBidi"/>
                  <w:bCs/>
                  <w:szCs w:val="24"/>
                  <w:lang w:val="es-ES"/>
                </w:rPr>
                <w:t xml:space="preserve">Doc. </w:t>
              </w:r>
              <w:r w:rsidRPr="00D2027A">
                <w:rPr>
                  <w:rStyle w:val="Hyperlink"/>
                  <w:rFonts w:asciiTheme="majorBidi" w:hAnsiTheme="majorBidi" w:cstheme="majorBidi"/>
                  <w:szCs w:val="24"/>
                  <w:lang w:val="es-ES"/>
                </w:rPr>
                <w:t>432</w:t>
              </w:r>
            </w:hyperlink>
          </w:p>
        </w:tc>
        <w:tc>
          <w:tcPr>
            <w:tcW w:w="2312" w:type="pct"/>
          </w:tcPr>
          <w:p w14:paraId="179A5C43" w14:textId="721F2301" w:rsidR="00967792" w:rsidRPr="00F935B8" w:rsidRDefault="00967792" w:rsidP="00B53355">
            <w:pPr>
              <w:spacing w:before="40" w:after="40"/>
              <w:rPr>
                <w:bCs/>
                <w:sz w:val="22"/>
                <w:lang w:val="es-ES"/>
              </w:rPr>
            </w:pPr>
            <w:r w:rsidRPr="00F935B8">
              <w:rPr>
                <w:sz w:val="22"/>
                <w:lang w:val="es-ES"/>
              </w:rPr>
              <w:t>6.1</w:t>
            </w:r>
            <w:r w:rsidRPr="00F935B8">
              <w:rPr>
                <w:sz w:val="22"/>
                <w:lang w:val="es-ES"/>
              </w:rPr>
              <w:tab/>
              <w:t xml:space="preserve">El </w:t>
            </w:r>
            <w:r w:rsidRPr="00F935B8">
              <w:rPr>
                <w:b/>
                <w:sz w:val="22"/>
                <w:lang w:val="es-ES"/>
              </w:rPr>
              <w:t>Vicepresidente de la Comisión 4</w:t>
            </w:r>
            <w:r w:rsidRPr="00F935B8">
              <w:rPr>
                <w:sz w:val="22"/>
                <w:lang w:val="es-ES"/>
              </w:rPr>
              <w:t xml:space="preserve"> anuncia que las propuestas acordadas en el marco del punto 1.9 del orden del día de la Conferencia han sido enviadas a la Comisión de Redacción. Ciertas disposiciones deberían incluirse en la </w:t>
            </w:r>
            <w:r w:rsidRPr="00F935B8">
              <w:rPr>
                <w:bCs/>
                <w:sz w:val="22"/>
                <w:lang w:val="es-ES"/>
              </w:rPr>
              <w:t xml:space="preserve">Resolución </w:t>
            </w:r>
            <w:r w:rsidRPr="0086363C">
              <w:rPr>
                <w:b/>
                <w:sz w:val="22"/>
                <w:lang w:val="es-ES"/>
              </w:rPr>
              <w:t>[COM6/6]</w:t>
            </w:r>
            <w:r w:rsidRPr="00F935B8">
              <w:rPr>
                <w:bCs/>
                <w:sz w:val="22"/>
                <w:lang w:val="es-ES"/>
              </w:rPr>
              <w:t xml:space="preserve"> para que se apliquen a partir del 17 de noviembre de 2007. Pide a la Comisión 6 que incorpore esas disposiciones en el </w:t>
            </w:r>
            <w:hyperlink r:id="rId100" w:history="1">
              <w:r w:rsidRPr="00F935B8">
                <w:rPr>
                  <w:rStyle w:val="Hyperlink"/>
                  <w:bCs/>
                  <w:sz w:val="22"/>
                  <w:lang w:val="es-ES"/>
                </w:rPr>
                <w:t>Documento</w:t>
              </w:r>
              <w:r w:rsidR="00F935B8" w:rsidRPr="00F935B8">
                <w:rPr>
                  <w:rStyle w:val="Hyperlink"/>
                  <w:bCs/>
                  <w:sz w:val="22"/>
                  <w:lang w:val="es-ES"/>
                </w:rPr>
                <w:t> </w:t>
              </w:r>
              <w:r w:rsidRPr="00F935B8">
                <w:rPr>
                  <w:rStyle w:val="Hyperlink"/>
                  <w:bCs/>
                  <w:sz w:val="22"/>
                  <w:lang w:val="es-ES"/>
                </w:rPr>
                <w:t>406(Rev.1)</w:t>
              </w:r>
            </w:hyperlink>
            <w:r w:rsidRPr="00F935B8">
              <w:rPr>
                <w:bCs/>
                <w:sz w:val="22"/>
                <w:lang w:val="es-ES"/>
              </w:rPr>
              <w:t xml:space="preserve"> y que el texto siguiente conste en el acta de la sesión:</w:t>
            </w:r>
          </w:p>
          <w:p w14:paraId="17D238F4" w14:textId="77777777" w:rsidR="00967792" w:rsidRPr="00F935B8" w:rsidRDefault="00967792" w:rsidP="00B53355">
            <w:pPr>
              <w:spacing w:before="40" w:after="40"/>
              <w:ind w:left="794"/>
              <w:rPr>
                <w:sz w:val="22"/>
                <w:lang w:val="es-ES"/>
              </w:rPr>
            </w:pPr>
            <w:r w:rsidRPr="00F935B8">
              <w:rPr>
                <w:sz w:val="22"/>
                <w:lang w:val="es-ES"/>
              </w:rPr>
              <w:t xml:space="preserve">«La CMR-07 toma nota de que las Reglas de Procedimiento elaboradas por la Junta del Reglamento de Radiocomunicaciones relativas a los números </w:t>
            </w:r>
            <w:r w:rsidRPr="00F935B8">
              <w:rPr>
                <w:b/>
                <w:bCs/>
                <w:sz w:val="22"/>
                <w:lang w:val="es-ES"/>
              </w:rPr>
              <w:t>5.415</w:t>
            </w:r>
            <w:r w:rsidRPr="00F935B8">
              <w:rPr>
                <w:sz w:val="22"/>
                <w:lang w:val="es-ES"/>
              </w:rPr>
              <w:t xml:space="preserve"> y </w:t>
            </w:r>
            <w:r w:rsidRPr="00F935B8">
              <w:rPr>
                <w:b/>
                <w:bCs/>
                <w:sz w:val="22"/>
                <w:lang w:val="es-ES"/>
              </w:rPr>
              <w:t>5.416</w:t>
            </w:r>
            <w:r w:rsidRPr="00F935B8">
              <w:rPr>
                <w:sz w:val="22"/>
                <w:lang w:val="es-ES"/>
              </w:rPr>
              <w:t xml:space="preserve"> del RR exigen a las administraciones que pretendan explotar un sistema regional que obtengan el acuerdo de las administraciones que vayan a formar parte del sistema regional y que lo comuniquen a la BR en el momento de notificar el sistema regional en virtud de las disposiciones del Artículo </w:t>
            </w:r>
            <w:r w:rsidRPr="00F935B8">
              <w:rPr>
                <w:b/>
                <w:bCs/>
                <w:sz w:val="22"/>
                <w:lang w:val="es-ES"/>
              </w:rPr>
              <w:t>11</w:t>
            </w:r>
            <w:r w:rsidRPr="00F935B8">
              <w:rPr>
                <w:sz w:val="22"/>
                <w:lang w:val="es-ES"/>
              </w:rPr>
              <w:t xml:space="preserve"> del RR. La presente Conferencia considera que </w:t>
            </w:r>
            <w:r w:rsidRPr="00F935B8">
              <w:rPr>
                <w:sz w:val="22"/>
                <w:lang w:val="es-ES"/>
              </w:rPr>
              <w:lastRenderedPageBreak/>
              <w:t xml:space="preserve">dichos acuerdos han de comunicarse a la BR cuando se presente la información de solicitud de coordinación (en virtud de la Sección II del Artículo </w:t>
            </w:r>
            <w:r w:rsidRPr="00F935B8">
              <w:rPr>
                <w:b/>
                <w:bCs/>
                <w:sz w:val="22"/>
                <w:lang w:val="es-ES"/>
              </w:rPr>
              <w:t>9</w:t>
            </w:r>
            <w:r w:rsidRPr="00F935B8">
              <w:rPr>
                <w:sz w:val="22"/>
                <w:lang w:val="es-ES"/>
              </w:rPr>
              <w:t>). Se ruega a la Oficina de Radiocomunicaciones y, a través de ella, a la Junta del Reglamento de Radiocomunicaciones, que modifiquen las Reglas de Procedimiento pertinentes para ajustarse a este requisito.</w:t>
            </w:r>
          </w:p>
          <w:p w14:paraId="76DFAE79" w14:textId="77777777" w:rsidR="00967792" w:rsidRPr="00F935B8" w:rsidRDefault="00967792" w:rsidP="00B53355">
            <w:pPr>
              <w:pStyle w:val="enumlev1"/>
              <w:spacing w:before="40" w:after="40"/>
              <w:rPr>
                <w:sz w:val="22"/>
                <w:lang w:val="es-ES"/>
              </w:rPr>
            </w:pPr>
            <w:r w:rsidRPr="00F935B8">
              <w:rPr>
                <w:sz w:val="22"/>
                <w:lang w:val="es-ES"/>
              </w:rPr>
              <w:tab/>
              <w:t xml:space="preserve">Además, se ruega a la Oficina que obtenga copias de los mencionados acuerdos para los sistemas que vayan a ser regionales y que se encuentren en fase de coordinación, antes de la fecha de notificación estipulada en el Artículo </w:t>
            </w:r>
            <w:r w:rsidRPr="00F935B8">
              <w:rPr>
                <w:b/>
                <w:bCs/>
                <w:sz w:val="22"/>
                <w:lang w:val="es-ES"/>
              </w:rPr>
              <w:t>11</w:t>
            </w:r>
            <w:r w:rsidRPr="00F935B8">
              <w:rPr>
                <w:sz w:val="22"/>
                <w:lang w:val="es-ES"/>
              </w:rPr>
              <w:t xml:space="preserve"> del RR. Las administraciones deberán facilitar tales acuerdos, a petición de la Oficina, a más tardar el 30 de junio de 2008.»</w:t>
            </w:r>
          </w:p>
          <w:p w14:paraId="7E353CE2" w14:textId="22A20AB0" w:rsidR="00967792" w:rsidRPr="00F935B8" w:rsidRDefault="00967792" w:rsidP="00B53355">
            <w:pPr>
              <w:spacing w:before="40" w:after="40"/>
              <w:rPr>
                <w:sz w:val="22"/>
                <w:lang w:val="es-ES"/>
              </w:rPr>
            </w:pPr>
            <w:r w:rsidRPr="00F935B8">
              <w:rPr>
                <w:sz w:val="22"/>
                <w:lang w:val="es-ES"/>
              </w:rPr>
              <w:t>6.2</w:t>
            </w:r>
            <w:r w:rsidRPr="00F935B8">
              <w:rPr>
                <w:sz w:val="22"/>
                <w:lang w:val="es-ES"/>
              </w:rPr>
              <w:tab/>
              <w:t xml:space="preserve">Se </w:t>
            </w:r>
            <w:r w:rsidRPr="00F935B8">
              <w:rPr>
                <w:b/>
                <w:sz w:val="22"/>
                <w:lang w:val="es-ES"/>
              </w:rPr>
              <w:t>aprueban</w:t>
            </w:r>
            <w:r w:rsidRPr="00F935B8">
              <w:rPr>
                <w:sz w:val="22"/>
                <w:lang w:val="es-ES"/>
              </w:rPr>
              <w:t xml:space="preserve"> las propuestas del </w:t>
            </w:r>
            <w:hyperlink r:id="rId101" w:history="1">
              <w:r w:rsidRPr="00F935B8">
                <w:rPr>
                  <w:rStyle w:val="Hyperlink"/>
                  <w:sz w:val="22"/>
                  <w:lang w:val="es-ES"/>
                </w:rPr>
                <w:t>Documento 391</w:t>
              </w:r>
            </w:hyperlink>
            <w:r w:rsidRPr="00F935B8">
              <w:rPr>
                <w:sz w:val="22"/>
                <w:lang w:val="es-ES"/>
              </w:rPr>
              <w:t>.</w:t>
            </w:r>
          </w:p>
        </w:tc>
        <w:tc>
          <w:tcPr>
            <w:tcW w:w="1548" w:type="pct"/>
          </w:tcPr>
          <w:p w14:paraId="174859D0" w14:textId="5FEE5E83" w:rsidR="00967792" w:rsidRPr="00D2027A" w:rsidRDefault="00967792" w:rsidP="00B53355">
            <w:pPr>
              <w:pStyle w:val="Tabletext"/>
              <w:rPr>
                <w:rFonts w:asciiTheme="majorBidi" w:hAnsiTheme="majorBidi" w:cstheme="majorBidi"/>
                <w:szCs w:val="24"/>
                <w:lang w:val="es-ES"/>
              </w:rPr>
            </w:pPr>
            <w:r w:rsidRPr="00D2027A">
              <w:rPr>
                <w:rFonts w:asciiTheme="majorBidi" w:hAnsiTheme="majorBidi" w:cstheme="majorBidi"/>
                <w:bCs/>
                <w:szCs w:val="24"/>
                <w:lang w:val="es-ES"/>
              </w:rPr>
              <w:lastRenderedPageBreak/>
              <w:t>La RRB modificó las Reglas de Procedimiento relativas a los números </w:t>
            </w:r>
            <w:r w:rsidRPr="00D2027A">
              <w:rPr>
                <w:rFonts w:asciiTheme="majorBidi" w:hAnsiTheme="majorBidi" w:cstheme="majorBidi"/>
                <w:b/>
                <w:bCs/>
                <w:szCs w:val="24"/>
                <w:lang w:val="es-ES"/>
              </w:rPr>
              <w:t>5.415</w:t>
            </w:r>
            <w:r w:rsidRPr="00D2027A">
              <w:rPr>
                <w:rFonts w:asciiTheme="majorBidi" w:hAnsiTheme="majorBidi" w:cstheme="majorBidi"/>
                <w:szCs w:val="24"/>
                <w:lang w:val="es-ES"/>
              </w:rPr>
              <w:t xml:space="preserve"> y </w:t>
            </w:r>
            <w:r w:rsidRPr="00D2027A">
              <w:rPr>
                <w:rFonts w:asciiTheme="majorBidi" w:hAnsiTheme="majorBidi" w:cstheme="majorBidi"/>
                <w:b/>
                <w:bCs/>
                <w:szCs w:val="24"/>
                <w:lang w:val="es-ES"/>
              </w:rPr>
              <w:t>5.416</w:t>
            </w:r>
            <w:r w:rsidRPr="00D2027A">
              <w:rPr>
                <w:rFonts w:asciiTheme="majorBidi" w:hAnsiTheme="majorBidi" w:cstheme="majorBidi"/>
                <w:szCs w:val="24"/>
                <w:lang w:val="es-ES"/>
              </w:rPr>
              <w:t xml:space="preserve"> </w:t>
            </w:r>
            <w:r w:rsidRPr="00D2027A">
              <w:rPr>
                <w:rFonts w:asciiTheme="majorBidi" w:hAnsiTheme="majorBidi" w:cstheme="majorBidi"/>
                <w:bCs/>
                <w:szCs w:val="24"/>
                <w:lang w:val="es-ES"/>
              </w:rPr>
              <w:t>en su 47ª</w:t>
            </w:r>
            <w:r w:rsidR="00743DCD">
              <w:rPr>
                <w:rFonts w:asciiTheme="majorBidi" w:hAnsiTheme="majorBidi" w:cstheme="majorBidi"/>
                <w:bCs/>
                <w:szCs w:val="24"/>
                <w:lang w:val="es-ES"/>
              </w:rPr>
              <w:t> </w:t>
            </w:r>
            <w:r w:rsidR="00D156CD">
              <w:rPr>
                <w:rFonts w:asciiTheme="majorBidi" w:hAnsiTheme="majorBidi" w:cstheme="majorBidi"/>
                <w:bCs/>
                <w:szCs w:val="24"/>
                <w:lang w:val="es-ES"/>
              </w:rPr>
              <w:t>r</w:t>
            </w:r>
            <w:r w:rsidRPr="00D2027A">
              <w:rPr>
                <w:rFonts w:asciiTheme="majorBidi" w:hAnsiTheme="majorBidi" w:cstheme="majorBidi"/>
                <w:bCs/>
                <w:szCs w:val="24"/>
                <w:lang w:val="es-ES"/>
              </w:rPr>
              <w:t>eunión (</w:t>
            </w:r>
            <w:hyperlink r:id="rId102" w:history="1">
              <w:r w:rsidRPr="00D2027A">
                <w:rPr>
                  <w:rStyle w:val="Hyperlink"/>
                  <w:rFonts w:asciiTheme="majorBidi" w:hAnsiTheme="majorBidi" w:cstheme="majorBidi"/>
                  <w:bCs/>
                  <w:szCs w:val="24"/>
                  <w:lang w:val="es-ES"/>
                </w:rPr>
                <w:t>CR/287</w:t>
              </w:r>
            </w:hyperlink>
            <w:r w:rsidRPr="00D2027A">
              <w:rPr>
                <w:rFonts w:asciiTheme="majorBidi" w:hAnsiTheme="majorBidi" w:cstheme="majorBidi"/>
                <w:bCs/>
                <w:szCs w:val="24"/>
                <w:lang w:val="es-ES"/>
              </w:rPr>
              <w:t>)</w:t>
            </w:r>
            <w:r w:rsidR="00D156CD">
              <w:rPr>
                <w:rFonts w:asciiTheme="majorBidi" w:hAnsiTheme="majorBidi" w:cstheme="majorBidi"/>
                <w:bCs/>
                <w:szCs w:val="24"/>
                <w:lang w:val="es-ES"/>
              </w:rPr>
              <w:t>.</w:t>
            </w:r>
          </w:p>
        </w:tc>
      </w:tr>
      <w:tr w:rsidR="00967792" w:rsidRPr="00D2027A" w14:paraId="40522283" w14:textId="77777777" w:rsidTr="00924C8B">
        <w:trPr>
          <w:jc w:val="center"/>
        </w:trPr>
        <w:tc>
          <w:tcPr>
            <w:tcW w:w="183" w:type="pct"/>
          </w:tcPr>
          <w:p w14:paraId="16DA46F4" w14:textId="77777777" w:rsidR="00967792" w:rsidRPr="00A616CA" w:rsidRDefault="00967792" w:rsidP="00B53355">
            <w:pPr>
              <w:pStyle w:val="Tabletext"/>
              <w:rPr>
                <w:lang w:val="es-ES"/>
              </w:rPr>
            </w:pPr>
            <w:r w:rsidRPr="00A616CA">
              <w:rPr>
                <w:lang w:val="es-ES"/>
              </w:rPr>
              <w:t>24</w:t>
            </w:r>
          </w:p>
        </w:tc>
        <w:tc>
          <w:tcPr>
            <w:tcW w:w="434" w:type="pct"/>
          </w:tcPr>
          <w:p w14:paraId="4EE0B497" w14:textId="77777777" w:rsidR="00967792" w:rsidRPr="00A616CA" w:rsidRDefault="00967792" w:rsidP="00B53355">
            <w:pPr>
              <w:pStyle w:val="Tabletext"/>
              <w:rPr>
                <w:lang w:val="es-ES"/>
              </w:rPr>
            </w:pPr>
            <w:r w:rsidRPr="00A616CA">
              <w:rPr>
                <w:lang w:val="es-ES"/>
              </w:rPr>
              <w:t>CMR-12</w:t>
            </w:r>
          </w:p>
        </w:tc>
        <w:tc>
          <w:tcPr>
            <w:tcW w:w="523" w:type="pct"/>
          </w:tcPr>
          <w:p w14:paraId="593632D2" w14:textId="1CAD543E" w:rsidR="00967792" w:rsidRPr="00D2027A" w:rsidRDefault="00967792" w:rsidP="00B53355">
            <w:pPr>
              <w:pStyle w:val="Tabletext"/>
              <w:rPr>
                <w:rFonts w:asciiTheme="majorBidi" w:hAnsiTheme="majorBidi" w:cstheme="majorBidi"/>
                <w:szCs w:val="24"/>
                <w:lang w:val="es-ES"/>
              </w:rPr>
            </w:pPr>
            <w:r w:rsidRPr="00D2027A">
              <w:rPr>
                <w:rFonts w:asciiTheme="majorBidi" w:hAnsiTheme="majorBidi" w:cstheme="majorBidi"/>
                <w:szCs w:val="24"/>
                <w:lang w:val="es-ES"/>
              </w:rPr>
              <w:t xml:space="preserve">4ª </w:t>
            </w:r>
            <w:r w:rsidRPr="00D2027A">
              <w:rPr>
                <w:rFonts w:asciiTheme="majorBidi" w:hAnsiTheme="majorBidi" w:cstheme="majorBidi"/>
                <w:bCs/>
                <w:szCs w:val="24"/>
                <w:lang w:val="es-ES"/>
              </w:rPr>
              <w:t>Plenaria</w:t>
            </w:r>
            <w:r w:rsidR="00F935B8">
              <w:rPr>
                <w:rFonts w:asciiTheme="majorBidi" w:hAnsiTheme="majorBidi" w:cstheme="majorBidi"/>
                <w:bCs/>
                <w:szCs w:val="24"/>
                <w:lang w:val="es-ES"/>
              </w:rPr>
              <w:br/>
            </w:r>
            <w:hyperlink r:id="rId103" w:history="1">
              <w:r w:rsidRPr="00D2027A">
                <w:rPr>
                  <w:rStyle w:val="Hyperlink"/>
                  <w:rFonts w:asciiTheme="majorBidi" w:hAnsiTheme="majorBidi" w:cstheme="majorBidi"/>
                  <w:bCs/>
                  <w:szCs w:val="24"/>
                  <w:lang w:val="es-ES"/>
                </w:rPr>
                <w:t>Doc. 329</w:t>
              </w:r>
            </w:hyperlink>
          </w:p>
        </w:tc>
        <w:tc>
          <w:tcPr>
            <w:tcW w:w="2312" w:type="pct"/>
          </w:tcPr>
          <w:p w14:paraId="0F487CE1" w14:textId="77777777" w:rsidR="00967792" w:rsidRPr="00F935B8" w:rsidRDefault="00967792" w:rsidP="00B53355">
            <w:pPr>
              <w:spacing w:before="40" w:after="40"/>
              <w:rPr>
                <w:sz w:val="22"/>
                <w:lang w:val="es-ES"/>
              </w:rPr>
            </w:pPr>
            <w:r w:rsidRPr="00F935B8">
              <w:rPr>
                <w:sz w:val="22"/>
                <w:lang w:val="es-ES"/>
              </w:rPr>
              <w:t>1.11</w:t>
            </w:r>
            <w:r w:rsidRPr="00F935B8">
              <w:rPr>
                <w:sz w:val="22"/>
                <w:lang w:val="es-ES"/>
              </w:rPr>
              <w:tab/>
              <w:t>... la Comisión 6 ha tomado nota de una declaración de la Administración de Cuba en el sentido de que la CMR-12 dé instrucciones concretas al Director de la BR de incluir en su Informe a la próxima CMR, un resumen relativo a la interferencia causada por la Administración de los Estados Unidos a los servicios de radiodifusión en Cuba, de conformidad con las conclusiones de la CMR-07. La Administración de Cuba tal vez querrá, si lo desea, dar más aclaraciones.</w:t>
            </w:r>
          </w:p>
          <w:p w14:paraId="6AEB8E5D" w14:textId="77777777" w:rsidR="00967792" w:rsidRPr="00F935B8" w:rsidRDefault="00967792" w:rsidP="00B53355">
            <w:pPr>
              <w:spacing w:before="40" w:after="40"/>
              <w:jc w:val="both"/>
              <w:rPr>
                <w:rFonts w:asciiTheme="majorBidi" w:hAnsiTheme="majorBidi" w:cstheme="majorBidi"/>
                <w:sz w:val="22"/>
                <w:lang w:val="es-ES"/>
              </w:rPr>
            </w:pPr>
            <w:r w:rsidRPr="00F935B8">
              <w:rPr>
                <w:rFonts w:asciiTheme="majorBidi" w:hAnsiTheme="majorBidi" w:cstheme="majorBidi"/>
                <w:sz w:val="22"/>
                <w:lang w:val="es-ES"/>
              </w:rPr>
              <w:t>…</w:t>
            </w:r>
          </w:p>
          <w:p w14:paraId="69C182B0" w14:textId="77777777" w:rsidR="00967792" w:rsidRPr="00F935B8" w:rsidRDefault="00967792" w:rsidP="00B53355">
            <w:pPr>
              <w:spacing w:before="40" w:after="40"/>
              <w:rPr>
                <w:sz w:val="22"/>
                <w:lang w:val="es-ES"/>
              </w:rPr>
            </w:pPr>
            <w:r w:rsidRPr="00F935B8">
              <w:rPr>
                <w:sz w:val="22"/>
                <w:lang w:val="es-ES"/>
              </w:rPr>
              <w:t>1.15</w:t>
            </w:r>
            <w:r w:rsidRPr="00F935B8">
              <w:rPr>
                <w:sz w:val="22"/>
                <w:lang w:val="es-ES"/>
              </w:rPr>
              <w:tab/>
              <w:t xml:space="preserve">El </w:t>
            </w:r>
            <w:r w:rsidRPr="00F935B8">
              <w:rPr>
                <w:b/>
                <w:bCs/>
                <w:sz w:val="22"/>
                <w:lang w:val="es-ES"/>
              </w:rPr>
              <w:t>Presidente</w:t>
            </w:r>
            <w:r w:rsidRPr="00F935B8">
              <w:rPr>
                <w:sz w:val="22"/>
                <w:lang w:val="es-ES"/>
              </w:rPr>
              <w:t xml:space="preserve"> dice que se llevará a cabo una coordinación bilateral entre los países interesados con el Presidente de la Conferencia y el Director de la Oficina de Radiocomunicaciones para encontrar una solución satisfactoria al problema planteado. Como lo ha solicitado el delegado de Cuba, </w:t>
            </w:r>
            <w:r w:rsidRPr="00F935B8">
              <w:rPr>
                <w:b/>
                <w:bCs/>
                <w:sz w:val="22"/>
                <w:lang w:val="es-ES"/>
              </w:rPr>
              <w:t>este asunto también será incluido en el Informe del Director de la Oficina de Radiocomunicaciones a la próxima CMR</w:t>
            </w:r>
            <w:r w:rsidRPr="00F935B8">
              <w:rPr>
                <w:sz w:val="22"/>
                <w:lang w:val="es-ES"/>
              </w:rPr>
              <w:t>.</w:t>
            </w:r>
          </w:p>
        </w:tc>
        <w:tc>
          <w:tcPr>
            <w:tcW w:w="1548" w:type="pct"/>
          </w:tcPr>
          <w:p w14:paraId="335E3633" w14:textId="3BCA5BD1" w:rsidR="00967792" w:rsidRPr="00D2027A" w:rsidRDefault="00967792" w:rsidP="00B53355">
            <w:pPr>
              <w:pStyle w:val="Tabletext"/>
              <w:rPr>
                <w:rFonts w:asciiTheme="majorBidi" w:hAnsiTheme="majorBidi" w:cstheme="majorBidi"/>
                <w:szCs w:val="24"/>
                <w:lang w:val="es-ES"/>
              </w:rPr>
            </w:pPr>
            <w:r w:rsidRPr="00D2027A">
              <w:rPr>
                <w:rFonts w:asciiTheme="majorBidi" w:hAnsiTheme="majorBidi" w:cstheme="majorBidi"/>
                <w:szCs w:val="24"/>
                <w:lang w:val="es-ES"/>
              </w:rPr>
              <w:t xml:space="preserve">La RRB observó esta solicitud en su </w:t>
            </w:r>
            <w:r w:rsidRPr="00924C8B">
              <w:rPr>
                <w:rStyle w:val="Strong"/>
                <w:rFonts w:asciiTheme="majorBidi" w:hAnsiTheme="majorBidi" w:cstheme="majorBidi"/>
                <w:b w:val="0"/>
                <w:bCs/>
                <w:szCs w:val="24"/>
                <w:lang w:val="es-ES"/>
              </w:rPr>
              <w:t>59ª </w:t>
            </w:r>
            <w:r w:rsidR="00D156CD" w:rsidRPr="00924C8B">
              <w:rPr>
                <w:rStyle w:val="Strong"/>
                <w:rFonts w:asciiTheme="majorBidi" w:hAnsiTheme="majorBidi" w:cstheme="majorBidi"/>
                <w:b w:val="0"/>
                <w:bCs/>
                <w:szCs w:val="24"/>
                <w:lang w:val="es-ES"/>
              </w:rPr>
              <w:t>r</w:t>
            </w:r>
            <w:r w:rsidRPr="00924C8B">
              <w:rPr>
                <w:rStyle w:val="Strong"/>
                <w:rFonts w:asciiTheme="majorBidi" w:hAnsiTheme="majorBidi" w:cstheme="majorBidi"/>
                <w:b w:val="0"/>
                <w:bCs/>
                <w:szCs w:val="24"/>
                <w:lang w:val="es-ES"/>
              </w:rPr>
              <w:t>eunión</w:t>
            </w:r>
            <w:r w:rsidRPr="00D2027A">
              <w:rPr>
                <w:rStyle w:val="Strong"/>
                <w:rFonts w:asciiTheme="majorBidi" w:hAnsiTheme="majorBidi" w:cstheme="majorBidi"/>
                <w:szCs w:val="24"/>
                <w:lang w:val="es-ES"/>
              </w:rPr>
              <w:t xml:space="preserve"> </w:t>
            </w:r>
            <w:r w:rsidRPr="00D2027A">
              <w:rPr>
                <w:lang w:val="es-ES"/>
              </w:rPr>
              <w:t xml:space="preserve">de que la </w:t>
            </w:r>
            <w:r w:rsidRPr="00D2027A">
              <w:rPr>
                <w:rFonts w:asciiTheme="majorBidi" w:hAnsiTheme="majorBidi" w:cstheme="majorBidi"/>
                <w:szCs w:val="24"/>
                <w:lang w:val="es-ES"/>
              </w:rPr>
              <w:t>CMR</w:t>
            </w:r>
            <w:r w:rsidRPr="00D2027A">
              <w:rPr>
                <w:rFonts w:asciiTheme="majorBidi" w:hAnsiTheme="majorBidi" w:cstheme="majorBidi"/>
                <w:szCs w:val="24"/>
                <w:lang w:val="es-ES"/>
              </w:rPr>
              <w:noBreakHyphen/>
              <w:t xml:space="preserve">12 había encargado a la Oficina que supervisara de </w:t>
            </w:r>
            <w:r w:rsidRPr="00266695">
              <w:rPr>
                <w:lang w:val="es-ES"/>
              </w:rPr>
              <w:t>cerca</w:t>
            </w:r>
            <w:r w:rsidRPr="00D2027A">
              <w:rPr>
                <w:rFonts w:asciiTheme="majorBidi" w:hAnsiTheme="majorBidi" w:cstheme="majorBidi"/>
                <w:szCs w:val="24"/>
                <w:lang w:val="es-ES"/>
              </w:rPr>
              <w:t xml:space="preserve"> esta cuestión y que informara al respecto a la CMR</w:t>
            </w:r>
            <w:r w:rsidRPr="00D2027A">
              <w:rPr>
                <w:rFonts w:asciiTheme="majorBidi" w:hAnsiTheme="majorBidi" w:cstheme="majorBidi"/>
                <w:szCs w:val="24"/>
                <w:lang w:val="es-ES"/>
              </w:rPr>
              <w:noBreakHyphen/>
              <w:t>15.</w:t>
            </w:r>
          </w:p>
        </w:tc>
      </w:tr>
      <w:tr w:rsidR="00967792" w:rsidRPr="00D2027A" w14:paraId="4780A9E5" w14:textId="77777777" w:rsidTr="00924C8B">
        <w:trPr>
          <w:jc w:val="center"/>
        </w:trPr>
        <w:tc>
          <w:tcPr>
            <w:tcW w:w="183" w:type="pct"/>
          </w:tcPr>
          <w:p w14:paraId="2A02C938" w14:textId="77777777" w:rsidR="00967792" w:rsidRPr="00A616CA" w:rsidRDefault="00967792" w:rsidP="00B53355">
            <w:pPr>
              <w:pStyle w:val="Tabletext"/>
              <w:rPr>
                <w:lang w:val="es-ES"/>
              </w:rPr>
            </w:pPr>
            <w:r w:rsidRPr="00A616CA">
              <w:rPr>
                <w:lang w:val="es-ES"/>
              </w:rPr>
              <w:t>25</w:t>
            </w:r>
          </w:p>
        </w:tc>
        <w:tc>
          <w:tcPr>
            <w:tcW w:w="434" w:type="pct"/>
          </w:tcPr>
          <w:p w14:paraId="47EE23B6" w14:textId="7CFAE2DB" w:rsidR="00967792" w:rsidRPr="00A616CA" w:rsidRDefault="00967792" w:rsidP="00B53355">
            <w:pPr>
              <w:pStyle w:val="Tabletext"/>
              <w:rPr>
                <w:lang w:val="es-ES"/>
              </w:rPr>
            </w:pPr>
            <w:r w:rsidRPr="00A616CA">
              <w:rPr>
                <w:lang w:val="es-ES"/>
              </w:rPr>
              <w:t>CMR-12</w:t>
            </w:r>
          </w:p>
        </w:tc>
        <w:tc>
          <w:tcPr>
            <w:tcW w:w="523" w:type="pct"/>
          </w:tcPr>
          <w:p w14:paraId="570C45B2" w14:textId="27DC73F2" w:rsidR="00967792" w:rsidRPr="00D2027A" w:rsidRDefault="00967792" w:rsidP="00B53355">
            <w:pPr>
              <w:pStyle w:val="Tabletext"/>
              <w:rPr>
                <w:rFonts w:asciiTheme="majorBidi" w:hAnsiTheme="majorBidi" w:cstheme="majorBidi"/>
                <w:bCs/>
                <w:szCs w:val="24"/>
                <w:lang w:val="es-ES"/>
              </w:rPr>
            </w:pPr>
            <w:r w:rsidRPr="00D2027A">
              <w:rPr>
                <w:rFonts w:asciiTheme="majorBidi" w:hAnsiTheme="majorBidi" w:cstheme="majorBidi"/>
                <w:szCs w:val="24"/>
                <w:lang w:val="es-ES"/>
              </w:rPr>
              <w:t>7ª Plenaria</w:t>
            </w:r>
            <w:r w:rsidR="00F935B8">
              <w:rPr>
                <w:rFonts w:asciiTheme="majorBidi" w:hAnsiTheme="majorBidi" w:cstheme="majorBidi"/>
                <w:bCs/>
                <w:szCs w:val="24"/>
                <w:lang w:val="es-ES"/>
              </w:rPr>
              <w:br/>
            </w:r>
            <w:hyperlink r:id="rId104" w:history="1">
              <w:r w:rsidRPr="00D2027A">
                <w:rPr>
                  <w:rStyle w:val="Hyperlink"/>
                  <w:rFonts w:asciiTheme="majorBidi" w:hAnsiTheme="majorBidi" w:cstheme="majorBidi"/>
                  <w:bCs/>
                  <w:szCs w:val="24"/>
                  <w:lang w:val="es-ES"/>
                </w:rPr>
                <w:t>Doc. 548</w:t>
              </w:r>
            </w:hyperlink>
          </w:p>
        </w:tc>
        <w:tc>
          <w:tcPr>
            <w:tcW w:w="2312" w:type="pct"/>
          </w:tcPr>
          <w:p w14:paraId="0CDAAE5C" w14:textId="77777777" w:rsidR="00967792" w:rsidRPr="00F935B8" w:rsidRDefault="00967792" w:rsidP="00B53355">
            <w:pPr>
              <w:pStyle w:val="enumlev1"/>
              <w:spacing w:before="40" w:after="40"/>
              <w:ind w:left="0" w:firstLine="0"/>
              <w:rPr>
                <w:sz w:val="22"/>
                <w:lang w:val="es-ES"/>
              </w:rPr>
            </w:pPr>
            <w:r w:rsidRPr="00F935B8">
              <w:rPr>
                <w:rFonts w:asciiTheme="majorBidi" w:hAnsiTheme="majorBidi" w:cstheme="majorBidi"/>
                <w:sz w:val="22"/>
                <w:lang w:val="es-ES"/>
              </w:rPr>
              <w:t>2.4</w:t>
            </w:r>
            <w:r w:rsidRPr="00F935B8">
              <w:rPr>
                <w:sz w:val="22"/>
                <w:lang w:val="es-ES"/>
              </w:rPr>
              <w:tab/>
              <w:t xml:space="preserve">«Se sugirió que la Oficina instara a las Administraciones, por medio de una Carta Circular, a notificar las asignaciones de frecuencias aeronáuticas en el MIFR. Asimismo, la Comisión 4 valoró las consultas previas celebradas entre la Secretaría de la OACI y la </w:t>
            </w:r>
            <w:r w:rsidRPr="00F935B8">
              <w:rPr>
                <w:sz w:val="22"/>
                <w:lang w:val="es-ES"/>
              </w:rPr>
              <w:lastRenderedPageBreak/>
              <w:t>Oficina de Radiocomunicaciones sobre el particular, y opinó que dichas consultas deberían proseguir en aras de una posible transferencia de la información de la base de datos de la OACI a la Oficina».</w:t>
            </w:r>
          </w:p>
          <w:p w14:paraId="3C5FBA17" w14:textId="77777777" w:rsidR="00967792" w:rsidRPr="00F935B8" w:rsidRDefault="00967792" w:rsidP="00B53355">
            <w:pPr>
              <w:spacing w:before="40" w:after="40"/>
              <w:rPr>
                <w:sz w:val="22"/>
                <w:lang w:val="es-ES"/>
              </w:rPr>
            </w:pPr>
            <w:r w:rsidRPr="00F935B8">
              <w:rPr>
                <w:sz w:val="22"/>
                <w:lang w:val="es-ES"/>
              </w:rPr>
              <w:t>2.5</w:t>
            </w:r>
            <w:r w:rsidRPr="00F935B8">
              <w:rPr>
                <w:sz w:val="22"/>
                <w:lang w:val="es-ES"/>
              </w:rPr>
              <w:tab/>
              <w:t xml:space="preserve">El </w:t>
            </w:r>
            <w:r w:rsidRPr="00F935B8">
              <w:rPr>
                <w:b/>
                <w:bCs/>
                <w:sz w:val="22"/>
                <w:lang w:val="es-ES"/>
              </w:rPr>
              <w:t>Presidente</w:t>
            </w:r>
            <w:r w:rsidRPr="00F935B8">
              <w:rPr>
                <w:sz w:val="22"/>
                <w:lang w:val="es-ES"/>
              </w:rPr>
              <w:t xml:space="preserve"> pregunta si la Conferencia puede adoptar esta conclusión.</w:t>
            </w:r>
          </w:p>
          <w:p w14:paraId="3F72E6D0" w14:textId="77777777" w:rsidR="00967792" w:rsidRPr="00F935B8" w:rsidRDefault="00967792" w:rsidP="00B53355">
            <w:pPr>
              <w:spacing w:before="40" w:after="40"/>
              <w:rPr>
                <w:sz w:val="22"/>
                <w:lang w:val="es-ES"/>
              </w:rPr>
            </w:pPr>
            <w:r w:rsidRPr="00F935B8">
              <w:rPr>
                <w:sz w:val="22"/>
                <w:lang w:val="es-ES"/>
              </w:rPr>
              <w:t>2.6</w:t>
            </w:r>
            <w:r w:rsidRPr="00F935B8">
              <w:rPr>
                <w:sz w:val="22"/>
                <w:lang w:val="es-ES"/>
              </w:rPr>
              <w:tab/>
              <w:t xml:space="preserve">Así </w:t>
            </w:r>
            <w:r w:rsidRPr="00F935B8">
              <w:rPr>
                <w:b/>
                <w:bCs/>
                <w:sz w:val="22"/>
                <w:lang w:val="es-ES"/>
              </w:rPr>
              <w:t>se acuerda</w:t>
            </w:r>
            <w:r w:rsidRPr="00F935B8">
              <w:rPr>
                <w:sz w:val="22"/>
                <w:lang w:val="es-ES"/>
              </w:rPr>
              <w:t>.</w:t>
            </w:r>
          </w:p>
        </w:tc>
        <w:tc>
          <w:tcPr>
            <w:tcW w:w="1548" w:type="pct"/>
          </w:tcPr>
          <w:p w14:paraId="3FFF7D8F" w14:textId="7EC83080" w:rsidR="00967792" w:rsidRPr="00266695" w:rsidRDefault="00967792" w:rsidP="00B53355">
            <w:pPr>
              <w:pStyle w:val="Tabletext"/>
              <w:rPr>
                <w:lang w:val="es-ES"/>
              </w:rPr>
            </w:pPr>
            <w:r w:rsidRPr="00266695">
              <w:rPr>
                <w:lang w:val="es-ES"/>
              </w:rPr>
              <w:lastRenderedPageBreak/>
              <w:t xml:space="preserve">La BR y la secretaría de la OACI están trabajando en el proyecto. El progreso dependerá de que se termine el portal web de la OACI con una base de datos de frecuencia. </w:t>
            </w:r>
            <w:r w:rsidRPr="00266695">
              <w:rPr>
                <w:lang w:val="es-ES"/>
              </w:rPr>
              <w:lastRenderedPageBreak/>
              <w:t>Al mes de diciembre de 2014 el portal web de la ICAO aún no se había terminado.</w:t>
            </w:r>
          </w:p>
        </w:tc>
      </w:tr>
      <w:tr w:rsidR="00967792" w:rsidRPr="00D2027A" w14:paraId="714122C9" w14:textId="77777777" w:rsidTr="00924C8B">
        <w:trPr>
          <w:jc w:val="center"/>
        </w:trPr>
        <w:tc>
          <w:tcPr>
            <w:tcW w:w="183" w:type="pct"/>
          </w:tcPr>
          <w:p w14:paraId="2E0292F4" w14:textId="77777777" w:rsidR="00967792" w:rsidRPr="00A616CA" w:rsidRDefault="00967792" w:rsidP="00B53355">
            <w:pPr>
              <w:pStyle w:val="Tabletext"/>
              <w:rPr>
                <w:lang w:val="es-ES"/>
              </w:rPr>
            </w:pPr>
            <w:r w:rsidRPr="00A616CA">
              <w:rPr>
                <w:lang w:val="es-ES"/>
              </w:rPr>
              <w:lastRenderedPageBreak/>
              <w:t>26</w:t>
            </w:r>
          </w:p>
        </w:tc>
        <w:tc>
          <w:tcPr>
            <w:tcW w:w="434" w:type="pct"/>
          </w:tcPr>
          <w:p w14:paraId="33CC6F89" w14:textId="5DFD3303" w:rsidR="00967792" w:rsidRPr="00A616CA" w:rsidRDefault="00967792" w:rsidP="00B53355">
            <w:pPr>
              <w:pStyle w:val="Tabletext"/>
              <w:rPr>
                <w:lang w:val="es-ES"/>
              </w:rPr>
            </w:pPr>
            <w:r w:rsidRPr="00A616CA">
              <w:rPr>
                <w:lang w:val="es-ES"/>
              </w:rPr>
              <w:t>CMR-12</w:t>
            </w:r>
          </w:p>
        </w:tc>
        <w:tc>
          <w:tcPr>
            <w:tcW w:w="523" w:type="pct"/>
          </w:tcPr>
          <w:p w14:paraId="53F883AA" w14:textId="09F45909" w:rsidR="00967792" w:rsidRPr="00D2027A" w:rsidRDefault="00967792" w:rsidP="00B53355">
            <w:pPr>
              <w:pStyle w:val="Tabletext"/>
              <w:rPr>
                <w:rFonts w:asciiTheme="majorBidi" w:hAnsiTheme="majorBidi" w:cstheme="majorBidi"/>
                <w:bCs/>
                <w:szCs w:val="24"/>
                <w:lang w:val="es-ES"/>
              </w:rPr>
            </w:pPr>
            <w:r w:rsidRPr="00D2027A">
              <w:rPr>
                <w:rFonts w:asciiTheme="majorBidi" w:hAnsiTheme="majorBidi" w:cstheme="majorBidi"/>
                <w:bCs/>
                <w:szCs w:val="24"/>
                <w:lang w:val="es-ES"/>
              </w:rPr>
              <w:t xml:space="preserve">8ª Plenaria </w:t>
            </w:r>
            <w:r w:rsidR="00F935B8">
              <w:rPr>
                <w:rFonts w:asciiTheme="majorBidi" w:hAnsiTheme="majorBidi" w:cstheme="majorBidi"/>
                <w:bCs/>
                <w:szCs w:val="24"/>
                <w:lang w:val="es-ES"/>
              </w:rPr>
              <w:br/>
            </w:r>
            <w:hyperlink r:id="rId105" w:history="1">
              <w:r w:rsidRPr="00D2027A">
                <w:rPr>
                  <w:rStyle w:val="Hyperlink"/>
                  <w:rFonts w:asciiTheme="majorBidi" w:hAnsiTheme="majorBidi" w:cstheme="majorBidi"/>
                  <w:bCs/>
                  <w:szCs w:val="24"/>
                  <w:lang w:val="es-ES"/>
                </w:rPr>
                <w:t>Doc. 549</w:t>
              </w:r>
            </w:hyperlink>
          </w:p>
        </w:tc>
        <w:tc>
          <w:tcPr>
            <w:tcW w:w="2312" w:type="pct"/>
          </w:tcPr>
          <w:p w14:paraId="7FDFEC9E" w14:textId="11440F56" w:rsidR="00967792" w:rsidRPr="00F935B8" w:rsidRDefault="00967792" w:rsidP="00B53355">
            <w:pPr>
              <w:spacing w:before="40" w:after="40"/>
              <w:rPr>
                <w:sz w:val="22"/>
                <w:lang w:val="es-ES"/>
              </w:rPr>
            </w:pPr>
            <w:r w:rsidRPr="00F935B8">
              <w:rPr>
                <w:sz w:val="22"/>
                <w:lang w:val="es-ES"/>
              </w:rPr>
              <w:t>2.7</w:t>
            </w:r>
            <w:r w:rsidRPr="00F935B8">
              <w:rPr>
                <w:sz w:val="22"/>
                <w:lang w:val="es-ES"/>
              </w:rPr>
              <w:tab/>
              <w:t xml:space="preserve">Sobre la base del texto contenido en el </w:t>
            </w:r>
            <w:hyperlink r:id="rId106" w:history="1">
              <w:r w:rsidRPr="00F935B8">
                <w:rPr>
                  <w:rStyle w:val="Hyperlink"/>
                  <w:sz w:val="22"/>
                  <w:lang w:val="es-ES"/>
                </w:rPr>
                <w:t>Documento 491</w:t>
              </w:r>
            </w:hyperlink>
            <w:r w:rsidRPr="00F935B8">
              <w:rPr>
                <w:sz w:val="22"/>
                <w:lang w:val="es-ES"/>
              </w:rPr>
              <w:t xml:space="preserve">, el </w:t>
            </w:r>
            <w:r w:rsidRPr="00F935B8">
              <w:rPr>
                <w:b/>
                <w:bCs/>
                <w:sz w:val="22"/>
                <w:lang w:val="es-ES"/>
              </w:rPr>
              <w:t>Presidente</w:t>
            </w:r>
            <w:r w:rsidRPr="00F935B8">
              <w:rPr>
                <w:sz w:val="22"/>
                <w:lang w:val="es-ES"/>
              </w:rPr>
              <w:t xml:space="preserve"> propone que la Plenaria apruebe el siguiente texto como conclusiones de la Conferencia respecto del </w:t>
            </w:r>
            <w:hyperlink r:id="rId107" w:history="1">
              <w:r w:rsidRPr="00F935B8">
                <w:rPr>
                  <w:rStyle w:val="Hyperlink"/>
                  <w:sz w:val="22"/>
                  <w:lang w:val="es-ES"/>
                </w:rPr>
                <w:t>Documento 57</w:t>
              </w:r>
            </w:hyperlink>
            <w:r w:rsidRPr="00F935B8">
              <w:rPr>
                <w:sz w:val="22"/>
                <w:lang w:val="es-ES"/>
              </w:rPr>
              <w:t>:</w:t>
            </w:r>
          </w:p>
          <w:p w14:paraId="4C855DC3" w14:textId="77777777" w:rsidR="00967792" w:rsidRPr="00F935B8" w:rsidRDefault="00967792" w:rsidP="00B53355">
            <w:pPr>
              <w:spacing w:before="40" w:after="40"/>
              <w:rPr>
                <w:sz w:val="22"/>
                <w:lang w:val="es-ES"/>
              </w:rPr>
            </w:pPr>
            <w:r w:rsidRPr="00F935B8">
              <w:rPr>
                <w:sz w:val="22"/>
                <w:lang w:val="es-ES"/>
              </w:rPr>
              <w:t>«Por lo tanto, la CMR propone solicitar:</w:t>
            </w:r>
          </w:p>
          <w:p w14:paraId="336ADF20" w14:textId="77777777" w:rsidR="00967792" w:rsidRPr="00F935B8" w:rsidRDefault="00967792" w:rsidP="00B53355">
            <w:pPr>
              <w:pStyle w:val="enumlev1"/>
              <w:spacing w:before="40" w:after="40"/>
              <w:rPr>
                <w:rFonts w:eastAsiaTheme="minorHAnsi"/>
                <w:sz w:val="22"/>
                <w:lang w:val="es-ES"/>
              </w:rPr>
            </w:pPr>
            <w:r w:rsidRPr="00F935B8">
              <w:rPr>
                <w:rFonts w:eastAsiaTheme="minorHAnsi"/>
                <w:sz w:val="22"/>
                <w:lang w:val="es-ES"/>
              </w:rPr>
              <w:t>a)</w:t>
            </w:r>
            <w:r w:rsidRPr="00F935B8">
              <w:rPr>
                <w:rFonts w:eastAsiaTheme="minorHAnsi"/>
                <w:sz w:val="22"/>
                <w:lang w:val="es-ES"/>
              </w:rPr>
              <w:tab/>
              <w:t xml:space="preserve">que la BR elabore y presente a la Junta del Reglamento de Radiocomunicaciones la descripción detallada de las prácticas y medidas de la Oficina que se aplican con arreglo al número </w:t>
            </w:r>
            <w:r w:rsidRPr="00F935B8">
              <w:rPr>
                <w:rFonts w:eastAsiaTheme="minorHAnsi"/>
                <w:b/>
                <w:bCs/>
                <w:sz w:val="22"/>
                <w:lang w:val="es-ES"/>
              </w:rPr>
              <w:t>11.50</w:t>
            </w:r>
            <w:r w:rsidRPr="00F935B8">
              <w:rPr>
                <w:rFonts w:eastAsiaTheme="minorHAnsi"/>
                <w:sz w:val="22"/>
                <w:lang w:val="es-ES"/>
              </w:rPr>
              <w:t>, en particular en lo que respecta a las asignaciones de frecuencias que figuran en el MIFR y que hayan sobrepasado o vayan a sobrepasar antes de la próxima Conferencia su periodo de validez de atribución a un servicio,</w:t>
            </w:r>
          </w:p>
          <w:p w14:paraId="25FEADF0" w14:textId="77777777" w:rsidR="00967792" w:rsidRPr="00F935B8" w:rsidRDefault="00967792" w:rsidP="00B53355">
            <w:pPr>
              <w:pStyle w:val="enumlev1"/>
              <w:spacing w:before="40" w:after="40"/>
              <w:rPr>
                <w:rFonts w:eastAsiaTheme="minorHAnsi"/>
                <w:sz w:val="22"/>
                <w:lang w:val="es-ES"/>
              </w:rPr>
            </w:pPr>
            <w:r w:rsidRPr="00F935B8">
              <w:rPr>
                <w:rFonts w:eastAsiaTheme="minorHAnsi"/>
                <w:sz w:val="22"/>
                <w:lang w:val="es-ES"/>
              </w:rPr>
              <w:t>b)</w:t>
            </w:r>
            <w:r w:rsidRPr="00F935B8">
              <w:rPr>
                <w:rFonts w:eastAsiaTheme="minorHAnsi"/>
                <w:sz w:val="22"/>
                <w:lang w:val="es-ES"/>
              </w:rPr>
              <w:tab/>
              <w:t>que la RRB elabore la correspondiente Regla de Procedimiento.»</w:t>
            </w:r>
          </w:p>
          <w:p w14:paraId="36638576" w14:textId="77777777" w:rsidR="00967792" w:rsidRPr="00F935B8" w:rsidRDefault="00967792" w:rsidP="00B53355">
            <w:pPr>
              <w:spacing w:before="40" w:after="40"/>
              <w:rPr>
                <w:rFonts w:eastAsiaTheme="minorHAnsi"/>
                <w:sz w:val="22"/>
                <w:lang w:val="es-ES"/>
              </w:rPr>
            </w:pPr>
            <w:r w:rsidRPr="00F935B8">
              <w:rPr>
                <w:rFonts w:eastAsiaTheme="minorHAnsi"/>
                <w:sz w:val="22"/>
                <w:lang w:val="es-ES"/>
              </w:rPr>
              <w:t>2.8</w:t>
            </w:r>
            <w:r w:rsidRPr="00F935B8">
              <w:rPr>
                <w:rFonts w:eastAsiaTheme="minorHAnsi"/>
                <w:sz w:val="22"/>
                <w:lang w:val="es-ES"/>
              </w:rPr>
              <w:tab/>
              <w:t xml:space="preserve">Así se </w:t>
            </w:r>
            <w:r w:rsidRPr="00F935B8">
              <w:rPr>
                <w:rFonts w:eastAsiaTheme="minorHAnsi"/>
                <w:b/>
                <w:bCs/>
                <w:sz w:val="22"/>
                <w:lang w:val="es-ES"/>
              </w:rPr>
              <w:t>acuerda</w:t>
            </w:r>
            <w:r w:rsidRPr="00F935B8">
              <w:rPr>
                <w:rFonts w:eastAsiaTheme="minorHAnsi"/>
                <w:sz w:val="22"/>
                <w:lang w:val="es-ES"/>
              </w:rPr>
              <w:t>.</w:t>
            </w:r>
          </w:p>
        </w:tc>
        <w:tc>
          <w:tcPr>
            <w:tcW w:w="1548" w:type="pct"/>
          </w:tcPr>
          <w:p w14:paraId="669B5CB9" w14:textId="24311FE5" w:rsidR="00967792" w:rsidRPr="00D2027A" w:rsidRDefault="00967792" w:rsidP="00B53355">
            <w:pPr>
              <w:pStyle w:val="Tabletext"/>
              <w:rPr>
                <w:rFonts w:asciiTheme="majorBidi" w:hAnsiTheme="majorBidi" w:cstheme="majorBidi"/>
                <w:bCs/>
                <w:szCs w:val="24"/>
                <w:lang w:val="es-ES"/>
              </w:rPr>
            </w:pPr>
            <w:r w:rsidRPr="00266695">
              <w:rPr>
                <w:lang w:val="es-ES"/>
              </w:rPr>
              <w:t>La</w:t>
            </w:r>
            <w:r w:rsidRPr="00D2027A">
              <w:rPr>
                <w:rFonts w:asciiTheme="majorBidi" w:hAnsiTheme="majorBidi" w:cstheme="majorBidi"/>
                <w:bCs/>
                <w:szCs w:val="24"/>
                <w:lang w:val="es-ES"/>
              </w:rPr>
              <w:t xml:space="preserve"> RRB aprobó la correspondiente Regla de Procedimiento relativa al número </w:t>
            </w:r>
            <w:r w:rsidRPr="00D2027A">
              <w:rPr>
                <w:rFonts w:asciiTheme="majorBidi" w:hAnsiTheme="majorBidi" w:cstheme="majorBidi"/>
                <w:b/>
                <w:szCs w:val="24"/>
                <w:lang w:val="es-ES"/>
              </w:rPr>
              <w:t>11.50</w:t>
            </w:r>
            <w:r w:rsidRPr="00D2027A">
              <w:rPr>
                <w:rFonts w:asciiTheme="majorBidi" w:hAnsiTheme="majorBidi" w:cstheme="majorBidi"/>
                <w:bCs/>
                <w:szCs w:val="24"/>
                <w:lang w:val="es-ES"/>
              </w:rPr>
              <w:t xml:space="preserve"> del</w:t>
            </w:r>
            <w:r w:rsidR="00536113">
              <w:rPr>
                <w:rFonts w:asciiTheme="majorBidi" w:hAnsiTheme="majorBidi" w:cstheme="majorBidi"/>
                <w:bCs/>
                <w:szCs w:val="24"/>
                <w:lang w:val="es-ES"/>
              </w:rPr>
              <w:t> </w:t>
            </w:r>
            <w:r w:rsidRPr="00D2027A">
              <w:rPr>
                <w:rFonts w:asciiTheme="majorBidi" w:hAnsiTheme="majorBidi" w:cstheme="majorBidi"/>
                <w:bCs/>
                <w:szCs w:val="24"/>
                <w:lang w:val="es-ES"/>
              </w:rPr>
              <w:t xml:space="preserve">RR, en su 67ª </w:t>
            </w:r>
            <w:r w:rsidR="00D156CD">
              <w:rPr>
                <w:rFonts w:asciiTheme="majorBidi" w:hAnsiTheme="majorBidi" w:cstheme="majorBidi"/>
                <w:bCs/>
                <w:szCs w:val="24"/>
                <w:lang w:val="es-ES"/>
              </w:rPr>
              <w:t>r</w:t>
            </w:r>
            <w:r w:rsidRPr="00D2027A">
              <w:rPr>
                <w:rFonts w:asciiTheme="majorBidi" w:hAnsiTheme="majorBidi" w:cstheme="majorBidi"/>
                <w:bCs/>
                <w:szCs w:val="24"/>
                <w:lang w:val="es-ES"/>
              </w:rPr>
              <w:t>eunión (</w:t>
            </w:r>
            <w:hyperlink r:id="rId108" w:history="1">
              <w:r w:rsidRPr="00D2027A">
                <w:rPr>
                  <w:rStyle w:val="Hyperlink"/>
                  <w:rFonts w:asciiTheme="majorBidi" w:hAnsiTheme="majorBidi" w:cstheme="majorBidi"/>
                  <w:bCs/>
                  <w:szCs w:val="24"/>
                  <w:lang w:val="es-ES"/>
                </w:rPr>
                <w:t>CR/373</w:t>
              </w:r>
            </w:hyperlink>
            <w:r w:rsidRPr="00D2027A">
              <w:rPr>
                <w:rFonts w:asciiTheme="majorBidi" w:hAnsiTheme="majorBidi" w:cstheme="majorBidi"/>
                <w:bCs/>
                <w:szCs w:val="24"/>
                <w:lang w:val="es-ES"/>
              </w:rPr>
              <w:t>)</w:t>
            </w:r>
            <w:r w:rsidR="00D156CD">
              <w:rPr>
                <w:rFonts w:asciiTheme="majorBidi" w:hAnsiTheme="majorBidi" w:cstheme="majorBidi"/>
                <w:bCs/>
                <w:szCs w:val="24"/>
                <w:lang w:val="es-ES"/>
              </w:rPr>
              <w:t>.</w:t>
            </w:r>
          </w:p>
        </w:tc>
      </w:tr>
      <w:tr w:rsidR="00F935B8" w:rsidRPr="00D2027A" w14:paraId="77F03FCB" w14:textId="77777777" w:rsidTr="00924C8B">
        <w:trPr>
          <w:jc w:val="center"/>
        </w:trPr>
        <w:tc>
          <w:tcPr>
            <w:tcW w:w="183" w:type="pct"/>
          </w:tcPr>
          <w:p w14:paraId="6AE06357" w14:textId="77777777" w:rsidR="00F935B8" w:rsidRPr="00A616CA" w:rsidRDefault="00F935B8" w:rsidP="00B53355">
            <w:pPr>
              <w:pStyle w:val="Tabletext"/>
              <w:rPr>
                <w:lang w:val="es-ES"/>
              </w:rPr>
            </w:pPr>
            <w:r w:rsidRPr="00A616CA">
              <w:rPr>
                <w:lang w:val="es-ES"/>
              </w:rPr>
              <w:t>27</w:t>
            </w:r>
          </w:p>
        </w:tc>
        <w:tc>
          <w:tcPr>
            <w:tcW w:w="434" w:type="pct"/>
          </w:tcPr>
          <w:p w14:paraId="3D4FF738" w14:textId="684F9F54" w:rsidR="00F935B8" w:rsidRPr="00A616CA" w:rsidRDefault="00F935B8" w:rsidP="00B53355">
            <w:pPr>
              <w:pStyle w:val="Tabletext"/>
              <w:rPr>
                <w:lang w:val="es-ES"/>
              </w:rPr>
            </w:pPr>
            <w:r w:rsidRPr="00A616CA">
              <w:rPr>
                <w:lang w:val="es-ES"/>
              </w:rPr>
              <w:t>CMR-12</w:t>
            </w:r>
          </w:p>
        </w:tc>
        <w:tc>
          <w:tcPr>
            <w:tcW w:w="523" w:type="pct"/>
          </w:tcPr>
          <w:p w14:paraId="0C7CF045" w14:textId="62B11169" w:rsidR="00F935B8" w:rsidRPr="00D2027A" w:rsidRDefault="00F935B8" w:rsidP="00B53355">
            <w:pPr>
              <w:pStyle w:val="Tabletext"/>
              <w:rPr>
                <w:rFonts w:asciiTheme="majorBidi" w:hAnsiTheme="majorBidi" w:cstheme="majorBidi"/>
                <w:bCs/>
                <w:szCs w:val="24"/>
                <w:lang w:val="es-ES"/>
              </w:rPr>
            </w:pPr>
            <w:r w:rsidRPr="00D2027A">
              <w:rPr>
                <w:rFonts w:asciiTheme="majorBidi" w:hAnsiTheme="majorBidi" w:cstheme="majorBidi"/>
                <w:bCs/>
                <w:szCs w:val="24"/>
                <w:lang w:val="es-ES"/>
              </w:rPr>
              <w:t xml:space="preserve">8ª Plenaria </w:t>
            </w:r>
            <w:r>
              <w:rPr>
                <w:rFonts w:asciiTheme="majorBidi" w:hAnsiTheme="majorBidi" w:cstheme="majorBidi"/>
                <w:bCs/>
                <w:szCs w:val="24"/>
                <w:lang w:val="es-ES"/>
              </w:rPr>
              <w:br/>
            </w:r>
            <w:hyperlink r:id="rId109" w:history="1">
              <w:r w:rsidRPr="00D2027A">
                <w:rPr>
                  <w:rStyle w:val="Hyperlink"/>
                  <w:rFonts w:asciiTheme="majorBidi" w:hAnsiTheme="majorBidi" w:cstheme="majorBidi"/>
                  <w:bCs/>
                  <w:szCs w:val="24"/>
                  <w:lang w:val="es-ES"/>
                </w:rPr>
                <w:t>Doc. 549</w:t>
              </w:r>
            </w:hyperlink>
          </w:p>
        </w:tc>
        <w:tc>
          <w:tcPr>
            <w:tcW w:w="2312" w:type="pct"/>
          </w:tcPr>
          <w:p w14:paraId="301A4795" w14:textId="5499C20E" w:rsidR="00F935B8" w:rsidRPr="00F935B8" w:rsidRDefault="00F935B8" w:rsidP="00B53355">
            <w:pPr>
              <w:spacing w:before="40" w:after="40"/>
              <w:rPr>
                <w:rFonts w:asciiTheme="majorBidi" w:eastAsia="MS Mincho" w:hAnsiTheme="majorBidi" w:cstheme="majorBidi"/>
                <w:sz w:val="22"/>
                <w:lang w:val="es-ES"/>
              </w:rPr>
            </w:pPr>
            <w:r w:rsidRPr="00F935B8">
              <w:rPr>
                <w:rFonts w:asciiTheme="majorBidi" w:eastAsia="MS Mincho" w:hAnsiTheme="majorBidi" w:cstheme="majorBidi"/>
                <w:sz w:val="22"/>
                <w:lang w:val="es-ES"/>
              </w:rPr>
              <w:t>10.3</w:t>
            </w:r>
            <w:r w:rsidRPr="00F935B8">
              <w:rPr>
                <w:rFonts w:asciiTheme="majorBidi" w:eastAsia="MS Mincho" w:hAnsiTheme="majorBidi" w:cstheme="majorBidi"/>
                <w:sz w:val="22"/>
                <w:lang w:val="es-ES"/>
              </w:rPr>
              <w:tab/>
              <w:t xml:space="preserve">El </w:t>
            </w:r>
            <w:r w:rsidRPr="00F935B8">
              <w:rPr>
                <w:rFonts w:asciiTheme="majorBidi" w:eastAsia="MS Mincho" w:hAnsiTheme="majorBidi" w:cstheme="majorBidi"/>
                <w:b/>
                <w:bCs/>
                <w:sz w:val="22"/>
                <w:lang w:val="es-ES"/>
              </w:rPr>
              <w:t>Presidente de la Comisión 4</w:t>
            </w:r>
            <w:r w:rsidRPr="00F935B8">
              <w:rPr>
                <w:rFonts w:asciiTheme="majorBidi" w:eastAsia="MS Mincho" w:hAnsiTheme="majorBidi" w:cstheme="majorBidi"/>
                <w:sz w:val="22"/>
                <w:lang w:val="es-ES"/>
              </w:rPr>
              <w:t xml:space="preserve"> llama la atención sobre un texto contenido en el </w:t>
            </w:r>
            <w:hyperlink r:id="rId110" w:history="1">
              <w:r w:rsidRPr="00F935B8">
                <w:rPr>
                  <w:rStyle w:val="Hyperlink"/>
                  <w:rFonts w:asciiTheme="majorBidi" w:eastAsia="MS Mincho" w:hAnsiTheme="majorBidi" w:cstheme="majorBidi"/>
                  <w:sz w:val="22"/>
                  <w:lang w:val="es-ES"/>
                </w:rPr>
                <w:t>Documento 418</w:t>
              </w:r>
            </w:hyperlink>
            <w:r w:rsidRPr="00F935B8">
              <w:rPr>
                <w:rFonts w:asciiTheme="majorBidi" w:eastAsia="MS Mincho" w:hAnsiTheme="majorBidi" w:cstheme="majorBidi"/>
                <w:sz w:val="22"/>
                <w:lang w:val="es-ES"/>
              </w:rPr>
              <w:t>, en el cual se propone aplicar una medida de transición para la nueva nota 5.D103</w:t>
            </w:r>
            <w:r>
              <w:rPr>
                <w:rFonts w:asciiTheme="majorBidi" w:eastAsia="MS Mincho" w:hAnsiTheme="majorBidi" w:cstheme="majorBidi"/>
                <w:sz w:val="22"/>
                <w:lang w:val="es-ES"/>
              </w:rPr>
              <w:t xml:space="preserve"> </w:t>
            </w:r>
            <w:r w:rsidRPr="00F935B8">
              <w:rPr>
                <w:rFonts w:asciiTheme="majorBidi" w:eastAsia="MS Mincho" w:hAnsiTheme="majorBidi" w:cstheme="majorBidi"/>
                <w:sz w:val="22"/>
                <w:lang w:val="en-GB"/>
              </w:rPr>
              <w:t>[</w:t>
            </w:r>
            <w:r w:rsidRPr="00F935B8">
              <w:rPr>
                <w:rFonts w:asciiTheme="majorBidi" w:eastAsia="MS Mincho" w:hAnsiTheme="majorBidi" w:cstheme="majorBidi"/>
                <w:b/>
                <w:bCs/>
                <w:sz w:val="22"/>
                <w:lang w:val="en-GB"/>
              </w:rPr>
              <w:t>5.443D</w:t>
            </w:r>
            <w:r w:rsidRPr="00F935B8">
              <w:rPr>
                <w:rFonts w:asciiTheme="majorBidi" w:eastAsia="MS Mincho" w:hAnsiTheme="majorBidi" w:cstheme="majorBidi"/>
                <w:sz w:val="22"/>
                <w:lang w:val="en-GB"/>
              </w:rPr>
              <w:t>]</w:t>
            </w:r>
            <w:r w:rsidRPr="00F935B8">
              <w:rPr>
                <w:rFonts w:asciiTheme="majorBidi" w:eastAsia="MS Mincho" w:hAnsiTheme="majorBidi" w:cstheme="majorBidi"/>
                <w:sz w:val="22"/>
                <w:lang w:val="es-ES"/>
              </w:rPr>
              <w:t>, a saber:</w:t>
            </w:r>
          </w:p>
          <w:p w14:paraId="7B38E1A9" w14:textId="0903B92E" w:rsidR="00F935B8" w:rsidRPr="00F935B8" w:rsidRDefault="00F935B8" w:rsidP="0086363C">
            <w:pPr>
              <w:pStyle w:val="enumlev1"/>
              <w:spacing w:before="40" w:after="40"/>
              <w:ind w:left="0" w:firstLine="0"/>
              <w:rPr>
                <w:sz w:val="22"/>
                <w:lang w:val="es-ES"/>
              </w:rPr>
            </w:pPr>
            <w:r w:rsidRPr="00F935B8">
              <w:rPr>
                <w:sz w:val="22"/>
                <w:lang w:val="es-ES"/>
              </w:rPr>
              <w:t xml:space="preserve">«En relación con la aplicación del número </w:t>
            </w:r>
            <w:r w:rsidRPr="00F935B8">
              <w:rPr>
                <w:b/>
                <w:bCs/>
                <w:sz w:val="22"/>
                <w:lang w:val="es-ES"/>
              </w:rPr>
              <w:t>9.11A</w:t>
            </w:r>
            <w:r w:rsidRPr="00F935B8">
              <w:rPr>
                <w:sz w:val="22"/>
                <w:lang w:val="es-ES"/>
              </w:rPr>
              <w:t xml:space="preserve"> del RR en el número </w:t>
            </w:r>
            <w:r w:rsidRPr="00F935B8">
              <w:rPr>
                <w:b/>
                <w:bCs/>
                <w:sz w:val="22"/>
                <w:lang w:val="es-ES"/>
              </w:rPr>
              <w:t>5.D103</w:t>
            </w:r>
            <w:r w:rsidRPr="00F935B8">
              <w:rPr>
                <w:sz w:val="22"/>
                <w:lang w:val="es-ES"/>
              </w:rPr>
              <w:t xml:space="preserve"> y la anulación del número </w:t>
            </w:r>
            <w:r w:rsidRPr="00F935B8">
              <w:rPr>
                <w:b/>
                <w:bCs/>
                <w:sz w:val="22"/>
                <w:lang w:val="es-ES"/>
              </w:rPr>
              <w:t>9.21</w:t>
            </w:r>
            <w:r w:rsidRPr="00F935B8">
              <w:rPr>
                <w:sz w:val="22"/>
                <w:lang w:val="es-ES"/>
              </w:rPr>
              <w:t xml:space="preserve"> del RR en la banda 5 030-5 091 MHz con respecto al SMA(R)S, se aplicará la siguiente medida transitoria. Los requisitos de coordinación de las redes de satélites, cuya información de coordinación completa se haya recibido antes de la entrada en vigor del número </w:t>
            </w:r>
            <w:r w:rsidRPr="00F935B8">
              <w:rPr>
                <w:b/>
                <w:bCs/>
                <w:sz w:val="22"/>
                <w:lang w:val="es-ES"/>
              </w:rPr>
              <w:t>5.D103</w:t>
            </w:r>
            <w:r w:rsidRPr="00F935B8">
              <w:rPr>
                <w:sz w:val="22"/>
                <w:lang w:val="es-ES"/>
              </w:rPr>
              <w:t xml:space="preserve">, serán los establecidos en las disposiciones en vigor, incluido el número </w:t>
            </w:r>
            <w:r w:rsidRPr="00F935B8">
              <w:rPr>
                <w:b/>
                <w:bCs/>
                <w:sz w:val="22"/>
                <w:lang w:val="es-ES"/>
              </w:rPr>
              <w:t>9.21</w:t>
            </w:r>
            <w:r w:rsidRPr="00F935B8">
              <w:rPr>
                <w:sz w:val="22"/>
                <w:lang w:val="es-ES"/>
              </w:rPr>
              <w:t xml:space="preserve"> del RR. Además, en aplicación del número </w:t>
            </w:r>
            <w:r w:rsidRPr="00F935B8">
              <w:rPr>
                <w:b/>
                <w:bCs/>
                <w:sz w:val="22"/>
                <w:lang w:val="es-ES"/>
              </w:rPr>
              <w:t>11.31</w:t>
            </w:r>
            <w:r w:rsidRPr="00F935B8">
              <w:rPr>
                <w:sz w:val="22"/>
                <w:lang w:val="es-ES"/>
              </w:rPr>
              <w:t xml:space="preserve"> del RR, la información de notificación de esas redes de satélites que se reciba después de la fecha de entrada en </w:t>
            </w:r>
            <w:r w:rsidRPr="00F935B8">
              <w:rPr>
                <w:sz w:val="22"/>
                <w:lang w:val="es-ES"/>
              </w:rPr>
              <w:lastRenderedPageBreak/>
              <w:t xml:space="preserve">vigor del número </w:t>
            </w:r>
            <w:r w:rsidRPr="00F935B8">
              <w:rPr>
                <w:b/>
                <w:bCs/>
                <w:sz w:val="22"/>
                <w:lang w:val="es-ES"/>
              </w:rPr>
              <w:t>5.D103</w:t>
            </w:r>
            <w:r w:rsidRPr="00F935B8">
              <w:rPr>
                <w:sz w:val="22"/>
                <w:lang w:val="es-ES"/>
              </w:rPr>
              <w:t xml:space="preserve"> seguirá tramitándose de conformidad con el número </w:t>
            </w:r>
            <w:r w:rsidRPr="00F935B8">
              <w:rPr>
                <w:b/>
                <w:bCs/>
                <w:sz w:val="22"/>
                <w:lang w:val="es-ES"/>
              </w:rPr>
              <w:t>9.21</w:t>
            </w:r>
            <w:r w:rsidRPr="00F935B8">
              <w:rPr>
                <w:sz w:val="22"/>
                <w:lang w:val="es-ES"/>
              </w:rPr>
              <w:t xml:space="preserve"> del RR, y no se será de aplicación el número </w:t>
            </w:r>
            <w:r w:rsidRPr="00F935B8">
              <w:rPr>
                <w:b/>
                <w:bCs/>
                <w:sz w:val="22"/>
                <w:lang w:val="es-ES"/>
              </w:rPr>
              <w:t>9.11A</w:t>
            </w:r>
            <w:r w:rsidRPr="00F935B8">
              <w:rPr>
                <w:sz w:val="22"/>
                <w:lang w:val="es-ES"/>
              </w:rPr>
              <w:t xml:space="preserve"> del RR de conformidad con el número </w:t>
            </w:r>
            <w:r w:rsidRPr="00F935B8">
              <w:rPr>
                <w:b/>
                <w:bCs/>
                <w:sz w:val="22"/>
                <w:lang w:val="es-ES"/>
              </w:rPr>
              <w:t>11.32</w:t>
            </w:r>
            <w:r w:rsidRPr="00F935B8">
              <w:rPr>
                <w:sz w:val="22"/>
                <w:lang w:val="es-ES"/>
              </w:rPr>
              <w:t xml:space="preserve"> del RR.»</w:t>
            </w:r>
          </w:p>
          <w:p w14:paraId="50361BFC" w14:textId="77777777" w:rsidR="00F935B8" w:rsidRPr="00F935B8" w:rsidRDefault="00F935B8" w:rsidP="00B53355">
            <w:pPr>
              <w:spacing w:before="40" w:after="40"/>
              <w:rPr>
                <w:rFonts w:asciiTheme="majorBidi" w:eastAsia="MS Mincho" w:hAnsiTheme="majorBidi" w:cstheme="majorBidi"/>
                <w:sz w:val="22"/>
                <w:lang w:val="es-ES"/>
              </w:rPr>
            </w:pPr>
            <w:r w:rsidRPr="00F935B8">
              <w:rPr>
                <w:rFonts w:asciiTheme="majorBidi" w:eastAsia="MS Mincho" w:hAnsiTheme="majorBidi" w:cstheme="majorBidi"/>
                <w:sz w:val="22"/>
                <w:lang w:val="es-ES"/>
              </w:rPr>
              <w:t>10.4</w:t>
            </w:r>
            <w:r w:rsidRPr="00F935B8">
              <w:rPr>
                <w:rFonts w:asciiTheme="majorBidi" w:eastAsia="MS Mincho" w:hAnsiTheme="majorBidi" w:cstheme="majorBidi"/>
                <w:sz w:val="22"/>
                <w:lang w:val="es-ES"/>
              </w:rPr>
              <w:tab/>
              <w:t xml:space="preserve">El </w:t>
            </w:r>
            <w:r w:rsidRPr="00F935B8">
              <w:rPr>
                <w:rFonts w:asciiTheme="majorBidi" w:eastAsia="MS Mincho" w:hAnsiTheme="majorBidi" w:cstheme="majorBidi"/>
                <w:b/>
                <w:bCs/>
                <w:sz w:val="22"/>
                <w:lang w:val="es-ES"/>
              </w:rPr>
              <w:t>Presidente</w:t>
            </w:r>
            <w:r w:rsidRPr="00F935B8">
              <w:rPr>
                <w:rFonts w:asciiTheme="majorBidi" w:eastAsia="MS Mincho" w:hAnsiTheme="majorBidi" w:cstheme="majorBidi"/>
                <w:sz w:val="22"/>
                <w:lang w:val="es-ES"/>
              </w:rPr>
              <w:t xml:space="preserve"> considera que la Conferencia puede adoptar esa medida de transición respecto de </w:t>
            </w:r>
            <w:r w:rsidRPr="00F935B8">
              <w:rPr>
                <w:rFonts w:asciiTheme="majorBidi" w:eastAsia="MS Mincho" w:hAnsiTheme="majorBidi" w:cstheme="majorBidi"/>
                <w:bCs/>
                <w:sz w:val="22"/>
                <w:lang w:val="es-ES"/>
              </w:rPr>
              <w:t xml:space="preserve">ADD </w:t>
            </w:r>
            <w:r w:rsidRPr="00F935B8">
              <w:rPr>
                <w:rFonts w:asciiTheme="majorBidi" w:eastAsia="MS Mincho" w:hAnsiTheme="majorBidi" w:cstheme="majorBidi"/>
                <w:b/>
                <w:sz w:val="22"/>
                <w:lang w:val="es-ES"/>
              </w:rPr>
              <w:t>5.D103</w:t>
            </w:r>
            <w:r w:rsidRPr="00F935B8">
              <w:rPr>
                <w:rFonts w:asciiTheme="majorBidi" w:eastAsia="MS Mincho" w:hAnsiTheme="majorBidi" w:cstheme="majorBidi"/>
                <w:sz w:val="22"/>
                <w:lang w:val="es-ES"/>
              </w:rPr>
              <w:t>.</w:t>
            </w:r>
          </w:p>
          <w:p w14:paraId="46DC7BAC" w14:textId="77777777" w:rsidR="00F935B8" w:rsidRPr="00F935B8" w:rsidRDefault="00F935B8" w:rsidP="00B53355">
            <w:pPr>
              <w:spacing w:before="40" w:after="40"/>
              <w:rPr>
                <w:rFonts w:asciiTheme="majorBidi" w:eastAsia="MS Mincho" w:hAnsiTheme="majorBidi" w:cstheme="majorBidi"/>
                <w:sz w:val="22"/>
                <w:lang w:val="es-ES"/>
              </w:rPr>
            </w:pPr>
            <w:r w:rsidRPr="00F935B8">
              <w:rPr>
                <w:rFonts w:asciiTheme="majorBidi" w:eastAsia="MS Mincho" w:hAnsiTheme="majorBidi" w:cstheme="majorBidi"/>
                <w:sz w:val="22"/>
                <w:lang w:val="es-ES"/>
              </w:rPr>
              <w:t>10.5</w:t>
            </w:r>
            <w:r w:rsidRPr="00F935B8">
              <w:rPr>
                <w:rFonts w:asciiTheme="majorBidi" w:eastAsia="MS Mincho" w:hAnsiTheme="majorBidi" w:cstheme="majorBidi"/>
                <w:sz w:val="22"/>
                <w:lang w:val="es-ES"/>
              </w:rPr>
              <w:tab/>
              <w:t xml:space="preserve">Así se </w:t>
            </w:r>
            <w:r w:rsidRPr="00F935B8">
              <w:rPr>
                <w:rFonts w:asciiTheme="majorBidi" w:eastAsia="MS Mincho" w:hAnsiTheme="majorBidi" w:cstheme="majorBidi"/>
                <w:b/>
                <w:bCs/>
                <w:sz w:val="22"/>
                <w:lang w:val="es-ES"/>
              </w:rPr>
              <w:t>acuerda</w:t>
            </w:r>
            <w:r w:rsidRPr="00F935B8">
              <w:rPr>
                <w:rFonts w:asciiTheme="majorBidi" w:eastAsia="MS Mincho" w:hAnsiTheme="majorBidi" w:cstheme="majorBidi"/>
                <w:sz w:val="22"/>
                <w:lang w:val="es-ES"/>
              </w:rPr>
              <w:t>.</w:t>
            </w:r>
          </w:p>
        </w:tc>
        <w:tc>
          <w:tcPr>
            <w:tcW w:w="1548" w:type="pct"/>
          </w:tcPr>
          <w:p w14:paraId="07919AE7" w14:textId="1B9AD01F" w:rsidR="00F935B8" w:rsidRPr="00266695" w:rsidRDefault="00F935B8" w:rsidP="00B53355">
            <w:pPr>
              <w:pStyle w:val="Tabletext"/>
              <w:rPr>
                <w:lang w:val="es-ES"/>
              </w:rPr>
            </w:pPr>
          </w:p>
        </w:tc>
      </w:tr>
      <w:tr w:rsidR="00F935B8" w:rsidRPr="00D2027A" w14:paraId="47FED698" w14:textId="77777777" w:rsidTr="00924C8B">
        <w:trPr>
          <w:jc w:val="center"/>
        </w:trPr>
        <w:tc>
          <w:tcPr>
            <w:tcW w:w="183" w:type="pct"/>
          </w:tcPr>
          <w:p w14:paraId="56CC5192" w14:textId="77777777" w:rsidR="00F935B8" w:rsidRPr="00A616CA" w:rsidRDefault="00F935B8" w:rsidP="00B53355">
            <w:pPr>
              <w:pStyle w:val="Tabletext"/>
              <w:rPr>
                <w:lang w:val="es-ES"/>
              </w:rPr>
            </w:pPr>
            <w:r w:rsidRPr="00A616CA">
              <w:rPr>
                <w:lang w:val="es-ES"/>
              </w:rPr>
              <w:t>28</w:t>
            </w:r>
          </w:p>
        </w:tc>
        <w:tc>
          <w:tcPr>
            <w:tcW w:w="434" w:type="pct"/>
          </w:tcPr>
          <w:p w14:paraId="77622D92" w14:textId="479338C7" w:rsidR="00F935B8" w:rsidRPr="00A616CA" w:rsidRDefault="00F935B8" w:rsidP="00B53355">
            <w:pPr>
              <w:pStyle w:val="Tabletext"/>
              <w:rPr>
                <w:lang w:val="es-ES"/>
              </w:rPr>
            </w:pPr>
            <w:r w:rsidRPr="00A616CA">
              <w:rPr>
                <w:lang w:val="es-ES"/>
              </w:rPr>
              <w:t>CMR-12</w:t>
            </w:r>
          </w:p>
        </w:tc>
        <w:tc>
          <w:tcPr>
            <w:tcW w:w="523" w:type="pct"/>
          </w:tcPr>
          <w:p w14:paraId="6C1D695F" w14:textId="64CAB836" w:rsidR="00F935B8" w:rsidRPr="00D2027A" w:rsidRDefault="00F935B8" w:rsidP="00B53355">
            <w:pPr>
              <w:pStyle w:val="Tabletext"/>
              <w:rPr>
                <w:rFonts w:asciiTheme="majorBidi" w:eastAsia="Malgun Gothic" w:hAnsiTheme="majorBidi" w:cstheme="majorBidi"/>
                <w:bCs/>
                <w:szCs w:val="24"/>
                <w:lang w:val="es-ES" w:eastAsia="ko-KR"/>
              </w:rPr>
            </w:pPr>
            <w:r w:rsidRPr="00D2027A">
              <w:rPr>
                <w:rFonts w:asciiTheme="majorBidi" w:hAnsiTheme="majorBidi" w:cstheme="majorBidi"/>
                <w:bCs/>
                <w:szCs w:val="24"/>
                <w:lang w:val="es-ES"/>
              </w:rPr>
              <w:t xml:space="preserve">8ª Plenaria </w:t>
            </w:r>
            <w:r>
              <w:rPr>
                <w:rFonts w:asciiTheme="majorBidi" w:hAnsiTheme="majorBidi" w:cstheme="majorBidi"/>
                <w:bCs/>
                <w:szCs w:val="24"/>
                <w:lang w:val="es-ES"/>
              </w:rPr>
              <w:br/>
            </w:r>
            <w:hyperlink r:id="rId111" w:history="1">
              <w:r w:rsidRPr="00D2027A">
                <w:rPr>
                  <w:rStyle w:val="Hyperlink"/>
                  <w:rFonts w:asciiTheme="majorBidi" w:hAnsiTheme="majorBidi" w:cstheme="majorBidi"/>
                  <w:bCs/>
                  <w:szCs w:val="24"/>
                  <w:lang w:val="es-ES"/>
                </w:rPr>
                <w:t>Doc. 549</w:t>
              </w:r>
            </w:hyperlink>
          </w:p>
        </w:tc>
        <w:tc>
          <w:tcPr>
            <w:tcW w:w="2312" w:type="pct"/>
          </w:tcPr>
          <w:p w14:paraId="3F605A26" w14:textId="671EBC27" w:rsidR="00F935B8" w:rsidRPr="00F935B8" w:rsidRDefault="00F935B8" w:rsidP="00B53355">
            <w:pPr>
              <w:spacing w:before="40" w:after="40"/>
              <w:rPr>
                <w:rFonts w:asciiTheme="majorBidi" w:eastAsia="MS Mincho" w:hAnsiTheme="majorBidi" w:cstheme="majorBidi"/>
                <w:sz w:val="22"/>
                <w:lang w:val="es-ES"/>
              </w:rPr>
            </w:pPr>
            <w:r w:rsidRPr="00F935B8">
              <w:rPr>
                <w:rFonts w:asciiTheme="majorBidi" w:eastAsia="MS Mincho" w:hAnsiTheme="majorBidi" w:cstheme="majorBidi"/>
                <w:sz w:val="22"/>
                <w:lang w:val="es-ES"/>
              </w:rPr>
              <w:t>16.4</w:t>
            </w:r>
            <w:r w:rsidRPr="00F935B8">
              <w:rPr>
                <w:rFonts w:asciiTheme="majorBidi" w:eastAsia="MS Mincho" w:hAnsiTheme="majorBidi" w:cstheme="majorBidi"/>
                <w:sz w:val="22"/>
                <w:lang w:val="es-ES"/>
              </w:rPr>
              <w:tab/>
              <w:t xml:space="preserve">El </w:t>
            </w:r>
            <w:r w:rsidRPr="00F935B8">
              <w:rPr>
                <w:rFonts w:asciiTheme="majorBidi" w:eastAsia="MS Mincho" w:hAnsiTheme="majorBidi" w:cstheme="majorBidi"/>
                <w:b/>
                <w:bCs/>
                <w:sz w:val="22"/>
                <w:lang w:val="es-ES"/>
              </w:rPr>
              <w:t>Presidente de la Comisión 4</w:t>
            </w:r>
            <w:r w:rsidRPr="00F935B8">
              <w:rPr>
                <w:rFonts w:asciiTheme="majorBidi" w:eastAsia="MS Mincho" w:hAnsiTheme="majorBidi" w:cstheme="majorBidi"/>
                <w:sz w:val="22"/>
                <w:lang w:val="es-ES"/>
              </w:rPr>
              <w:t xml:space="preserve"> propone que se incluya en las Actas de la Sesión Plenaria el siguiente texto, según figura en el </w:t>
            </w:r>
            <w:hyperlink r:id="rId112" w:history="1">
              <w:r w:rsidRPr="00F935B8">
                <w:rPr>
                  <w:rStyle w:val="Hyperlink"/>
                  <w:rFonts w:asciiTheme="majorBidi" w:eastAsia="MS Mincho" w:hAnsiTheme="majorBidi" w:cstheme="majorBidi"/>
                  <w:sz w:val="22"/>
                  <w:lang w:val="es-ES"/>
                </w:rPr>
                <w:t>Documento 482</w:t>
              </w:r>
            </w:hyperlink>
            <w:r w:rsidRPr="00F935B8">
              <w:rPr>
                <w:rFonts w:asciiTheme="majorBidi" w:eastAsia="MS Mincho" w:hAnsiTheme="majorBidi" w:cstheme="majorBidi"/>
                <w:sz w:val="22"/>
                <w:lang w:val="es-ES"/>
              </w:rPr>
              <w:t>, como un medio para resolver la cuestión de los corchetes:</w:t>
            </w:r>
          </w:p>
          <w:p w14:paraId="6E6F285D" w14:textId="77777777" w:rsidR="00F935B8" w:rsidRPr="00F935B8" w:rsidRDefault="00F935B8" w:rsidP="00B53355">
            <w:pPr>
              <w:spacing w:before="40" w:after="40"/>
              <w:ind w:left="794" w:hanging="794"/>
              <w:rPr>
                <w:sz w:val="22"/>
                <w:lang w:val="es-ES"/>
              </w:rPr>
            </w:pPr>
            <w:r w:rsidRPr="00F935B8">
              <w:rPr>
                <w:sz w:val="22"/>
                <w:lang w:val="es-ES"/>
              </w:rPr>
              <w:tab/>
              <w:t xml:space="preserve">«Algunas delegaciones plantearon suprimir la expresión «durante más del 2% del tiempo» de la nota 5.B121. La Recomendación UIT-R RA.1513, cuya revisión debería abordarse durante el próximo ciclo de estudios del UIT-R, se ocupa del porcentaje de pérdida de datos en la radioastronomía. Estos estudios deberían tener en cuenta que, en este caso, el número </w:t>
            </w:r>
            <w:r w:rsidRPr="00F935B8">
              <w:rPr>
                <w:b/>
                <w:bCs/>
                <w:sz w:val="22"/>
                <w:lang w:val="es-ES"/>
              </w:rPr>
              <w:t>5.B121</w:t>
            </w:r>
            <w:r w:rsidRPr="00F935B8">
              <w:rPr>
                <w:sz w:val="22"/>
                <w:lang w:val="es-ES"/>
              </w:rPr>
              <w:t xml:space="preserve"> se refiere a una banda etiquetada con el número </w:t>
            </w:r>
            <w:r w:rsidRPr="00F935B8">
              <w:rPr>
                <w:b/>
                <w:bCs/>
                <w:sz w:val="22"/>
                <w:lang w:val="es-ES"/>
              </w:rPr>
              <w:t>5.340</w:t>
            </w:r>
            <w:r w:rsidRPr="00F935B8">
              <w:rPr>
                <w:sz w:val="22"/>
                <w:lang w:val="es-ES"/>
              </w:rPr>
              <w:t xml:space="preserve">, cuyos umbrales de interferencia se dan en la Recomendación UIT-R RA.769. Asimismo, deberían estudiarse las consecuencias operativas para el servicio de localización en el supuesto de que la expresión «durante más del 2% del tiempo» no se incluyera en la nota 5.B121. Las conclusiones de estos estudios deberían incluirse en el Informe del Director de la Oficina de Radiocomunicaciones a la CMR-15, de manera que la CMR-15 pueda decidir si debería suprimirse o no la expresión «durante más del 2% del tiempo» de la nota </w:t>
            </w:r>
            <w:r w:rsidRPr="00F935B8">
              <w:rPr>
                <w:b/>
                <w:bCs/>
                <w:sz w:val="22"/>
                <w:lang w:val="es-ES"/>
              </w:rPr>
              <w:t>5.B121</w:t>
            </w:r>
            <w:r w:rsidRPr="00F935B8">
              <w:rPr>
                <w:sz w:val="22"/>
                <w:lang w:val="es-ES"/>
              </w:rPr>
              <w:t xml:space="preserve"> durante la CMR-18.»</w:t>
            </w:r>
          </w:p>
          <w:p w14:paraId="48DE1DFA" w14:textId="5C16544B" w:rsidR="00F935B8" w:rsidRPr="00F935B8" w:rsidRDefault="00F935B8" w:rsidP="00B53355">
            <w:pPr>
              <w:spacing w:before="40" w:after="40"/>
              <w:rPr>
                <w:rFonts w:asciiTheme="majorBidi" w:eastAsia="MS Mincho" w:hAnsiTheme="majorBidi" w:cstheme="majorBidi"/>
                <w:sz w:val="22"/>
                <w:lang w:val="es-ES"/>
              </w:rPr>
            </w:pPr>
            <w:r w:rsidRPr="00F935B8">
              <w:rPr>
                <w:rFonts w:asciiTheme="majorBidi" w:eastAsia="MS Mincho" w:hAnsiTheme="majorBidi" w:cstheme="majorBidi"/>
                <w:sz w:val="22"/>
                <w:lang w:val="es-ES"/>
              </w:rPr>
              <w:t>16.7</w:t>
            </w:r>
            <w:r w:rsidRPr="00F935B8">
              <w:rPr>
                <w:rFonts w:asciiTheme="majorBidi" w:eastAsia="MS Mincho" w:hAnsiTheme="majorBidi" w:cstheme="majorBidi"/>
                <w:sz w:val="22"/>
                <w:lang w:val="es-ES"/>
              </w:rPr>
              <w:tab/>
              <w:t xml:space="preserve">El </w:t>
            </w:r>
            <w:r w:rsidRPr="00F935B8">
              <w:rPr>
                <w:rFonts w:asciiTheme="majorBidi" w:eastAsia="MS Mincho" w:hAnsiTheme="majorBidi" w:cstheme="majorBidi"/>
                <w:b/>
                <w:bCs/>
                <w:sz w:val="22"/>
                <w:lang w:val="es-ES"/>
              </w:rPr>
              <w:t>Presidente</w:t>
            </w:r>
            <w:r w:rsidRPr="00F935B8">
              <w:rPr>
                <w:rFonts w:asciiTheme="majorBidi" w:eastAsia="MS Mincho" w:hAnsiTheme="majorBidi" w:cstheme="majorBidi"/>
                <w:sz w:val="22"/>
                <w:lang w:val="es-ES"/>
              </w:rPr>
              <w:t xml:space="preserve"> propone que se supriman las palabras «durante la CMR-18» del texto propuesto</w:t>
            </w:r>
            <w:r w:rsidR="00397F41">
              <w:rPr>
                <w:rFonts w:asciiTheme="majorBidi" w:eastAsia="MS Mincho" w:hAnsiTheme="majorBidi" w:cstheme="majorBidi"/>
                <w:sz w:val="22"/>
                <w:lang w:val="es-ES"/>
              </w:rPr>
              <w:t>..</w:t>
            </w:r>
            <w:r w:rsidRPr="00F935B8">
              <w:rPr>
                <w:rFonts w:asciiTheme="majorBidi" w:eastAsia="MS Mincho" w:hAnsiTheme="majorBidi" w:cstheme="majorBidi"/>
                <w:sz w:val="22"/>
                <w:lang w:val="es-ES"/>
              </w:rPr>
              <w:t>.</w:t>
            </w:r>
          </w:p>
          <w:p w14:paraId="0C30EC65" w14:textId="77777777" w:rsidR="00F935B8" w:rsidRPr="00F935B8" w:rsidRDefault="00F935B8" w:rsidP="00B53355">
            <w:pPr>
              <w:spacing w:before="40" w:after="40"/>
              <w:rPr>
                <w:rFonts w:asciiTheme="majorBidi" w:eastAsia="MS Mincho" w:hAnsiTheme="majorBidi" w:cstheme="majorBidi"/>
                <w:sz w:val="22"/>
                <w:lang w:val="es-ES"/>
              </w:rPr>
            </w:pPr>
            <w:r w:rsidRPr="00F935B8">
              <w:rPr>
                <w:rFonts w:asciiTheme="majorBidi" w:eastAsia="MS Mincho" w:hAnsiTheme="majorBidi" w:cstheme="majorBidi"/>
                <w:sz w:val="22"/>
                <w:lang w:val="es-ES"/>
              </w:rPr>
              <w:t>16.8</w:t>
            </w:r>
            <w:r w:rsidRPr="00F935B8">
              <w:rPr>
                <w:rFonts w:asciiTheme="majorBidi" w:eastAsia="MS Mincho" w:hAnsiTheme="majorBidi" w:cstheme="majorBidi"/>
                <w:sz w:val="22"/>
                <w:lang w:val="es-ES"/>
              </w:rPr>
              <w:tab/>
              <w:t xml:space="preserve">Así se </w:t>
            </w:r>
            <w:r w:rsidRPr="00F935B8">
              <w:rPr>
                <w:rFonts w:asciiTheme="majorBidi" w:eastAsia="MS Mincho" w:hAnsiTheme="majorBidi" w:cstheme="majorBidi"/>
                <w:b/>
                <w:bCs/>
                <w:sz w:val="22"/>
                <w:lang w:val="es-ES"/>
              </w:rPr>
              <w:t>acuerda</w:t>
            </w:r>
            <w:r w:rsidRPr="00F935B8">
              <w:rPr>
                <w:rFonts w:asciiTheme="majorBidi" w:eastAsia="MS Mincho" w:hAnsiTheme="majorBidi" w:cstheme="majorBidi"/>
                <w:sz w:val="22"/>
                <w:lang w:val="es-ES"/>
              </w:rPr>
              <w:t>.</w:t>
            </w:r>
          </w:p>
        </w:tc>
        <w:tc>
          <w:tcPr>
            <w:tcW w:w="1548" w:type="pct"/>
          </w:tcPr>
          <w:p w14:paraId="5BBBA03B" w14:textId="3EF4C122" w:rsidR="00F935B8" w:rsidRPr="00D2027A" w:rsidRDefault="00F935B8" w:rsidP="00B53355">
            <w:pPr>
              <w:pStyle w:val="Tabletext"/>
              <w:rPr>
                <w:rFonts w:asciiTheme="majorBidi" w:hAnsiTheme="majorBidi" w:cstheme="majorBidi"/>
                <w:bCs/>
                <w:szCs w:val="24"/>
                <w:lang w:val="es-ES"/>
              </w:rPr>
            </w:pPr>
            <w:r w:rsidRPr="00D2027A">
              <w:rPr>
                <w:rFonts w:asciiTheme="majorBidi" w:hAnsiTheme="majorBidi" w:cstheme="majorBidi"/>
                <w:szCs w:val="24"/>
                <w:lang w:val="es-ES" w:eastAsia="ja-JP"/>
              </w:rPr>
              <w:t>De conformidad con el intercambio de opiniones entre los GT 5B y 7D, el GT 7D considera que no es necesario modificar el número </w:t>
            </w:r>
            <w:r w:rsidRPr="00D2027A">
              <w:rPr>
                <w:rFonts w:asciiTheme="majorBidi" w:hAnsiTheme="majorBidi" w:cstheme="majorBidi"/>
                <w:b/>
                <w:szCs w:val="24"/>
                <w:lang w:val="es-ES" w:eastAsia="ja-JP"/>
              </w:rPr>
              <w:t>5.511F</w:t>
            </w:r>
            <w:r w:rsidRPr="00D2027A">
              <w:rPr>
                <w:rFonts w:asciiTheme="majorBidi" w:hAnsiTheme="majorBidi" w:cstheme="majorBidi"/>
                <w:szCs w:val="24"/>
                <w:lang w:val="es-ES" w:eastAsia="ja-JP"/>
              </w:rPr>
              <w:t xml:space="preserve"> del RR y ha enviado una </w:t>
            </w:r>
            <w:r w:rsidRPr="00266695">
              <w:rPr>
                <w:lang w:val="es-ES"/>
              </w:rPr>
              <w:t>Nota</w:t>
            </w:r>
            <w:r w:rsidRPr="00D2027A">
              <w:rPr>
                <w:rFonts w:asciiTheme="majorBidi" w:hAnsiTheme="majorBidi" w:cstheme="majorBidi"/>
                <w:szCs w:val="24"/>
                <w:lang w:val="es-ES" w:eastAsia="ja-JP"/>
              </w:rPr>
              <w:t xml:space="preserve"> al Director y a la </w:t>
            </w:r>
            <w:r w:rsidRPr="00D2027A">
              <w:rPr>
                <w:rFonts w:asciiTheme="majorBidi" w:hAnsiTheme="majorBidi" w:cstheme="majorBidi"/>
                <w:szCs w:val="24"/>
                <w:lang w:val="es-ES"/>
              </w:rPr>
              <w:t xml:space="preserve">RRB en consecuencia (Anexo 4 al </w:t>
            </w:r>
            <w:r w:rsidRPr="00D2027A">
              <w:rPr>
                <w:rFonts w:asciiTheme="majorBidi" w:hAnsiTheme="majorBidi" w:cstheme="majorBidi"/>
                <w:bCs/>
                <w:szCs w:val="24"/>
                <w:lang w:val="es-ES"/>
              </w:rPr>
              <w:t>Doc. 7D/140)</w:t>
            </w:r>
            <w:r w:rsidR="00D156CD">
              <w:rPr>
                <w:rFonts w:asciiTheme="majorBidi" w:hAnsiTheme="majorBidi" w:cstheme="majorBidi"/>
                <w:bCs/>
                <w:szCs w:val="24"/>
                <w:lang w:val="es-ES"/>
              </w:rPr>
              <w:t>.</w:t>
            </w:r>
          </w:p>
        </w:tc>
      </w:tr>
      <w:tr w:rsidR="00967792" w:rsidRPr="00D2027A" w14:paraId="25002D2F" w14:textId="77777777" w:rsidTr="00924C8B">
        <w:trPr>
          <w:jc w:val="center"/>
        </w:trPr>
        <w:tc>
          <w:tcPr>
            <w:tcW w:w="183" w:type="pct"/>
          </w:tcPr>
          <w:p w14:paraId="167B52EC" w14:textId="77777777" w:rsidR="00967792" w:rsidRPr="00A616CA" w:rsidRDefault="00967792" w:rsidP="00B53355">
            <w:pPr>
              <w:pStyle w:val="Tabletext"/>
              <w:rPr>
                <w:lang w:val="es-ES"/>
              </w:rPr>
            </w:pPr>
            <w:r w:rsidRPr="00A616CA">
              <w:rPr>
                <w:lang w:val="es-ES"/>
              </w:rPr>
              <w:lastRenderedPageBreak/>
              <w:t>29</w:t>
            </w:r>
          </w:p>
        </w:tc>
        <w:tc>
          <w:tcPr>
            <w:tcW w:w="434" w:type="pct"/>
          </w:tcPr>
          <w:p w14:paraId="0082405E" w14:textId="7D0E1DEB" w:rsidR="00967792" w:rsidRPr="00A616CA" w:rsidRDefault="00967792" w:rsidP="00B53355">
            <w:pPr>
              <w:pStyle w:val="Tabletext"/>
              <w:rPr>
                <w:lang w:val="es-ES"/>
              </w:rPr>
            </w:pPr>
            <w:r w:rsidRPr="00A616CA">
              <w:rPr>
                <w:lang w:val="es-ES"/>
              </w:rPr>
              <w:t>CMR-12</w:t>
            </w:r>
          </w:p>
        </w:tc>
        <w:tc>
          <w:tcPr>
            <w:tcW w:w="523" w:type="pct"/>
          </w:tcPr>
          <w:p w14:paraId="61DDAE8C" w14:textId="2905FA1E" w:rsidR="00967792" w:rsidRPr="00D2027A" w:rsidRDefault="00967792" w:rsidP="00B53355">
            <w:pPr>
              <w:pStyle w:val="Tabletext"/>
              <w:rPr>
                <w:rFonts w:asciiTheme="majorBidi" w:hAnsiTheme="majorBidi" w:cstheme="majorBidi"/>
                <w:szCs w:val="24"/>
                <w:lang w:val="es-ES"/>
              </w:rPr>
            </w:pPr>
            <w:r w:rsidRPr="00D2027A">
              <w:rPr>
                <w:rFonts w:asciiTheme="majorBidi" w:hAnsiTheme="majorBidi" w:cstheme="majorBidi"/>
                <w:szCs w:val="24"/>
                <w:lang w:val="es-ES"/>
              </w:rPr>
              <w:t>9ª Plenaria</w:t>
            </w:r>
            <w:r w:rsidR="00397F41">
              <w:rPr>
                <w:rFonts w:asciiTheme="majorBidi" w:hAnsiTheme="majorBidi" w:cstheme="majorBidi"/>
                <w:szCs w:val="24"/>
                <w:lang w:val="es-ES"/>
              </w:rPr>
              <w:br/>
            </w:r>
            <w:hyperlink r:id="rId113" w:history="1">
              <w:r w:rsidRPr="00D2027A">
                <w:rPr>
                  <w:rStyle w:val="Hyperlink"/>
                  <w:rFonts w:asciiTheme="majorBidi" w:hAnsiTheme="majorBidi" w:cstheme="majorBidi"/>
                  <w:szCs w:val="24"/>
                  <w:lang w:val="es-ES"/>
                </w:rPr>
                <w:t>Doc. 550</w:t>
              </w:r>
            </w:hyperlink>
          </w:p>
        </w:tc>
        <w:tc>
          <w:tcPr>
            <w:tcW w:w="2312" w:type="pct"/>
          </w:tcPr>
          <w:p w14:paraId="107E23CD" w14:textId="77777777" w:rsidR="00967792" w:rsidRPr="00397F41" w:rsidRDefault="00967792" w:rsidP="00B53355">
            <w:pPr>
              <w:pStyle w:val="Normalaftertitle0"/>
              <w:spacing w:before="40" w:after="40"/>
              <w:rPr>
                <w:sz w:val="22"/>
                <w:lang w:val="es-ES"/>
              </w:rPr>
            </w:pPr>
            <w:r w:rsidRPr="00397F41">
              <w:rPr>
                <w:sz w:val="22"/>
                <w:lang w:val="es-ES"/>
              </w:rPr>
              <w:t>1.1</w:t>
            </w:r>
            <w:r w:rsidRPr="00397F41">
              <w:rPr>
                <w:sz w:val="22"/>
                <w:lang w:val="es-ES"/>
              </w:rPr>
              <w:tab/>
              <w:t xml:space="preserve">El </w:t>
            </w:r>
            <w:r w:rsidRPr="00397F41">
              <w:rPr>
                <w:b/>
                <w:bCs/>
                <w:sz w:val="22"/>
                <w:lang w:val="es-ES"/>
              </w:rPr>
              <w:t xml:space="preserve">Presidente de la Comisión 5, </w:t>
            </w:r>
            <w:r w:rsidRPr="00397F41">
              <w:rPr>
                <w:sz w:val="22"/>
                <w:lang w:val="es-ES"/>
              </w:rPr>
              <w:t>basándose</w:t>
            </w:r>
            <w:r w:rsidRPr="00397F41">
              <w:rPr>
                <w:b/>
                <w:bCs/>
                <w:sz w:val="22"/>
                <w:lang w:val="es-ES"/>
              </w:rPr>
              <w:t xml:space="preserve"> </w:t>
            </w:r>
            <w:r w:rsidRPr="00397F41">
              <w:rPr>
                <w:sz w:val="22"/>
                <w:lang w:val="es-ES"/>
              </w:rPr>
              <w:t>en el Documento 450 … propone incluir el siguiente texto en las actas de la reunión como una decisión de la Conferencia:</w:t>
            </w:r>
          </w:p>
          <w:p w14:paraId="52303B60" w14:textId="1AA996BD" w:rsidR="00967792" w:rsidRPr="00397F41" w:rsidRDefault="00967792" w:rsidP="00B53355">
            <w:pPr>
              <w:pStyle w:val="enumlev2"/>
              <w:spacing w:before="40" w:after="40"/>
              <w:ind w:left="794" w:firstLine="0"/>
              <w:rPr>
                <w:sz w:val="22"/>
                <w:lang w:val="es-ES"/>
              </w:rPr>
            </w:pPr>
            <w:r w:rsidRPr="00397F41">
              <w:rPr>
                <w:sz w:val="22"/>
                <w:lang w:val="es-ES"/>
              </w:rPr>
              <w:t xml:space="preserve">«Tras el examen del </w:t>
            </w:r>
            <w:hyperlink r:id="rId114" w:history="1">
              <w:r w:rsidRPr="00397F41">
                <w:rPr>
                  <w:rStyle w:val="Hyperlink"/>
                  <w:sz w:val="22"/>
                  <w:lang w:val="es-ES"/>
                </w:rPr>
                <w:t>Documento 56</w:t>
              </w:r>
            </w:hyperlink>
            <w:r w:rsidRPr="00397F41">
              <w:rPr>
                <w:sz w:val="22"/>
                <w:lang w:val="es-ES"/>
              </w:rPr>
              <w:t xml:space="preserve"> se señaló a la atención de la Conferencia que las administraciones no disponen de documentación relativa a las prácticas y medidas adoptadas por la Oficina en aplicación del § 6.16 del Artículo </w:t>
            </w:r>
            <w:r w:rsidRPr="00397F41">
              <w:rPr>
                <w:b/>
                <w:bCs/>
                <w:sz w:val="22"/>
                <w:lang w:val="es-ES"/>
              </w:rPr>
              <w:t>6</w:t>
            </w:r>
            <w:r w:rsidRPr="00397F41">
              <w:rPr>
                <w:sz w:val="22"/>
                <w:lang w:val="es-ES"/>
              </w:rPr>
              <w:t xml:space="preserve"> del Apéndice </w:t>
            </w:r>
            <w:r w:rsidRPr="00397F41">
              <w:rPr>
                <w:b/>
                <w:bCs/>
                <w:sz w:val="22"/>
                <w:lang w:val="es-ES"/>
              </w:rPr>
              <w:t>30B</w:t>
            </w:r>
            <w:r w:rsidRPr="00397F41">
              <w:rPr>
                <w:sz w:val="22"/>
                <w:lang w:val="es-ES"/>
              </w:rPr>
              <w:t xml:space="preserve"> del RR, ni sobre si la Oficina tiene o no en cuenta los resultados de los cálculos de interferencia realizados para una asignación específica en el territorio de la administración responsable de la asignación propuesta, en caso de que esa administración haya aplicado previamente el § 6.16 de dicho Artículo con respecto a esa asignación.</w:t>
            </w:r>
          </w:p>
          <w:p w14:paraId="1F62ABCB" w14:textId="77777777" w:rsidR="00967792" w:rsidRPr="00397F41" w:rsidRDefault="00967792" w:rsidP="00B53355">
            <w:pPr>
              <w:pStyle w:val="enumlev2"/>
              <w:spacing w:before="40" w:after="40"/>
              <w:rPr>
                <w:sz w:val="22"/>
                <w:lang w:val="es-ES"/>
              </w:rPr>
            </w:pPr>
            <w:r w:rsidRPr="00397F41">
              <w:rPr>
                <w:sz w:val="22"/>
                <w:lang w:val="es-ES"/>
              </w:rPr>
              <w:t>Por consiguiente, se propone solicitar lo siguiente:</w:t>
            </w:r>
          </w:p>
          <w:p w14:paraId="27653D06" w14:textId="45C5B71A" w:rsidR="00967792" w:rsidRPr="00397F41" w:rsidRDefault="00967792" w:rsidP="00B53355">
            <w:pPr>
              <w:pStyle w:val="enumlev2"/>
              <w:spacing w:before="40" w:after="40"/>
              <w:rPr>
                <w:sz w:val="22"/>
                <w:lang w:val="es-ES"/>
              </w:rPr>
            </w:pPr>
            <w:r w:rsidRPr="00397F41">
              <w:rPr>
                <w:sz w:val="22"/>
                <w:lang w:val="es-ES"/>
              </w:rPr>
              <w:t>a)</w:t>
            </w:r>
            <w:r w:rsidRPr="00397F41">
              <w:rPr>
                <w:sz w:val="22"/>
                <w:lang w:val="es-ES"/>
              </w:rPr>
              <w:tab/>
              <w:t>a la Oficina que presente a la Junta del Reglamento de Radiocomunicaciones una descripción detallada de las prácticas y medidas adoptadas por la Oficina, en particular en lo que respecta a la aplicación del §</w:t>
            </w:r>
            <w:r w:rsidR="00536113">
              <w:rPr>
                <w:sz w:val="22"/>
                <w:lang w:val="es-ES"/>
              </w:rPr>
              <w:t> </w:t>
            </w:r>
            <w:r w:rsidRPr="00397F41">
              <w:rPr>
                <w:sz w:val="22"/>
                <w:lang w:val="es-ES"/>
              </w:rPr>
              <w:t>6.16 del Artículo 6 del Apéndice </w:t>
            </w:r>
            <w:r w:rsidRPr="00397F41">
              <w:rPr>
                <w:b/>
                <w:bCs/>
                <w:sz w:val="22"/>
                <w:lang w:val="es-ES"/>
              </w:rPr>
              <w:t>30B</w:t>
            </w:r>
            <w:r w:rsidRPr="00397F41">
              <w:rPr>
                <w:sz w:val="22"/>
                <w:lang w:val="es-ES"/>
              </w:rPr>
              <w:t xml:space="preserve"> del RR,</w:t>
            </w:r>
          </w:p>
          <w:p w14:paraId="71E2E472" w14:textId="77777777" w:rsidR="00967792" w:rsidRPr="00397F41" w:rsidRDefault="00967792" w:rsidP="00B53355">
            <w:pPr>
              <w:pStyle w:val="enumlev2"/>
              <w:spacing w:before="40" w:after="40"/>
              <w:rPr>
                <w:sz w:val="22"/>
                <w:lang w:val="es-ES"/>
              </w:rPr>
            </w:pPr>
            <w:r w:rsidRPr="00397F41">
              <w:rPr>
                <w:sz w:val="22"/>
                <w:lang w:val="es-ES"/>
              </w:rPr>
              <w:t>b)</w:t>
            </w:r>
            <w:r w:rsidRPr="00397F41">
              <w:rPr>
                <w:sz w:val="22"/>
                <w:lang w:val="es-ES"/>
              </w:rPr>
              <w:tab/>
              <w:t>a la Junta del Reglamento de Radiocomunicaciones que elabore las Reglas de Procedimiento pertinentes.»</w:t>
            </w:r>
          </w:p>
          <w:p w14:paraId="2862DE61" w14:textId="77777777" w:rsidR="00967792" w:rsidRPr="00397F41" w:rsidRDefault="00967792" w:rsidP="00B53355">
            <w:pPr>
              <w:spacing w:before="40" w:after="40"/>
              <w:rPr>
                <w:sz w:val="22"/>
                <w:lang w:val="es-ES"/>
              </w:rPr>
            </w:pPr>
            <w:r w:rsidRPr="00397F41">
              <w:rPr>
                <w:sz w:val="22"/>
                <w:lang w:val="es-ES"/>
              </w:rPr>
              <w:t>1.2</w:t>
            </w:r>
            <w:r w:rsidRPr="00397F41">
              <w:rPr>
                <w:sz w:val="22"/>
                <w:lang w:val="es-ES"/>
              </w:rPr>
              <w:tab/>
              <w:t xml:space="preserve">El </w:t>
            </w:r>
            <w:r w:rsidRPr="00397F41">
              <w:rPr>
                <w:b/>
                <w:bCs/>
                <w:sz w:val="22"/>
                <w:lang w:val="es-ES"/>
              </w:rPr>
              <w:t>delegado del Reino Unido</w:t>
            </w:r>
            <w:r w:rsidRPr="00397F41">
              <w:rPr>
                <w:sz w:val="22"/>
                <w:lang w:val="es-ES"/>
              </w:rPr>
              <w:t xml:space="preserve"> hace un comentario que no afecta al texto en español.</w:t>
            </w:r>
          </w:p>
          <w:p w14:paraId="73F9F78B" w14:textId="77777777" w:rsidR="00967792" w:rsidRPr="00397F41" w:rsidRDefault="00967792" w:rsidP="00B53355">
            <w:pPr>
              <w:spacing w:before="40" w:after="40"/>
              <w:rPr>
                <w:sz w:val="22"/>
                <w:lang w:val="es-ES"/>
              </w:rPr>
            </w:pPr>
            <w:r w:rsidRPr="00397F41">
              <w:rPr>
                <w:sz w:val="22"/>
                <w:lang w:val="es-ES"/>
              </w:rPr>
              <w:t>1.3</w:t>
            </w:r>
            <w:r w:rsidRPr="00397F41">
              <w:rPr>
                <w:sz w:val="22"/>
                <w:lang w:val="es-ES"/>
              </w:rPr>
              <w:tab/>
              <w:t xml:space="preserve">Se </w:t>
            </w:r>
            <w:r w:rsidRPr="00397F41">
              <w:rPr>
                <w:b/>
                <w:bCs/>
                <w:sz w:val="22"/>
                <w:lang w:val="es-ES"/>
              </w:rPr>
              <w:t>aprueba</w:t>
            </w:r>
            <w:r w:rsidRPr="00397F41">
              <w:rPr>
                <w:sz w:val="22"/>
                <w:lang w:val="es-ES"/>
              </w:rPr>
              <w:t xml:space="preserve"> una decisión que no afecta al texto en español.</w:t>
            </w:r>
          </w:p>
          <w:p w14:paraId="579A7433" w14:textId="77777777" w:rsidR="00967792" w:rsidRPr="00397F41" w:rsidRDefault="00967792" w:rsidP="00B53355">
            <w:pPr>
              <w:spacing w:before="40" w:after="40"/>
              <w:rPr>
                <w:sz w:val="22"/>
                <w:lang w:val="es-ES"/>
              </w:rPr>
            </w:pPr>
            <w:r w:rsidRPr="00397F41">
              <w:rPr>
                <w:sz w:val="22"/>
                <w:lang w:val="es-ES"/>
              </w:rPr>
              <w:t>1.4</w:t>
            </w:r>
            <w:r w:rsidRPr="00397F41">
              <w:rPr>
                <w:sz w:val="22"/>
                <w:lang w:val="es-ES"/>
              </w:rPr>
              <w:tab/>
              <w:t xml:space="preserve">El </w:t>
            </w:r>
            <w:r w:rsidRPr="00397F41">
              <w:rPr>
                <w:b/>
                <w:bCs/>
                <w:sz w:val="22"/>
                <w:lang w:val="es-ES"/>
              </w:rPr>
              <w:t>delegado de Qatar</w:t>
            </w:r>
            <w:r w:rsidRPr="00397F41">
              <w:rPr>
                <w:sz w:val="22"/>
                <w:lang w:val="es-ES"/>
              </w:rPr>
              <w:t xml:space="preserve"> pregunta si hay un plazo dentro del cual la Oficina debe remitir a la Junta del Reglamento de Radiocomunicaciones una detallada descripción de sus prácticas y medidas.</w:t>
            </w:r>
          </w:p>
          <w:p w14:paraId="5B68A729" w14:textId="77777777" w:rsidR="00967792" w:rsidRPr="00397F41" w:rsidRDefault="00967792" w:rsidP="00B53355">
            <w:pPr>
              <w:spacing w:before="40" w:after="40"/>
              <w:rPr>
                <w:sz w:val="22"/>
                <w:lang w:val="es-ES"/>
              </w:rPr>
            </w:pPr>
            <w:r w:rsidRPr="00397F41">
              <w:rPr>
                <w:sz w:val="22"/>
                <w:lang w:val="es-ES"/>
              </w:rPr>
              <w:t>1.5</w:t>
            </w:r>
            <w:r w:rsidRPr="00397F41">
              <w:rPr>
                <w:sz w:val="22"/>
                <w:lang w:val="es-ES"/>
              </w:rPr>
              <w:tab/>
              <w:t xml:space="preserve">El </w:t>
            </w:r>
            <w:r w:rsidRPr="00397F41">
              <w:rPr>
                <w:b/>
                <w:bCs/>
                <w:sz w:val="22"/>
                <w:lang w:val="es-ES"/>
              </w:rPr>
              <w:t>Director de la BR</w:t>
            </w:r>
            <w:r w:rsidRPr="00397F41">
              <w:rPr>
                <w:sz w:val="22"/>
                <w:lang w:val="es-ES"/>
              </w:rPr>
              <w:t xml:space="preserve"> dice que se redactará la descripción que será enviada a la Junta para que la considere en su próxima reunión.</w:t>
            </w:r>
          </w:p>
          <w:p w14:paraId="58E1B98B" w14:textId="087A5692" w:rsidR="00967792" w:rsidRPr="00397F41" w:rsidRDefault="00967792" w:rsidP="00B53355">
            <w:pPr>
              <w:spacing w:before="40" w:after="40"/>
              <w:rPr>
                <w:sz w:val="22"/>
                <w:lang w:val="es-ES"/>
              </w:rPr>
            </w:pPr>
            <w:r w:rsidRPr="00397F41">
              <w:rPr>
                <w:sz w:val="22"/>
                <w:lang w:val="es-ES"/>
              </w:rPr>
              <w:t>1.6</w:t>
            </w:r>
            <w:r w:rsidRPr="00397F41">
              <w:rPr>
                <w:sz w:val="22"/>
                <w:lang w:val="es-ES"/>
              </w:rPr>
              <w:tab/>
              <w:t xml:space="preserve">El </w:t>
            </w:r>
            <w:r w:rsidRPr="00397F41">
              <w:rPr>
                <w:b/>
                <w:bCs/>
                <w:sz w:val="22"/>
                <w:lang w:val="es-ES"/>
              </w:rPr>
              <w:t>Presidente</w:t>
            </w:r>
            <w:r w:rsidRPr="00397F41">
              <w:rPr>
                <w:sz w:val="22"/>
                <w:lang w:val="es-ES"/>
              </w:rPr>
              <w:t xml:space="preserve"> considera que la Conferencia puede aprobar la decisión propuesta por la Comisión 5 en el § 2 del </w:t>
            </w:r>
            <w:hyperlink r:id="rId115" w:history="1">
              <w:r w:rsidRPr="00397F41">
                <w:rPr>
                  <w:rStyle w:val="Hyperlink"/>
                  <w:sz w:val="22"/>
                  <w:lang w:val="es-ES"/>
                </w:rPr>
                <w:t>Documento 450</w:t>
              </w:r>
            </w:hyperlink>
            <w:r w:rsidRPr="00397F41">
              <w:rPr>
                <w:sz w:val="22"/>
                <w:lang w:val="es-ES"/>
              </w:rPr>
              <w:t>, modificada por el delegado del Reino Unido.</w:t>
            </w:r>
          </w:p>
          <w:p w14:paraId="6697E7AE" w14:textId="77777777" w:rsidR="00967792" w:rsidRPr="00397F41" w:rsidRDefault="00967792" w:rsidP="00B53355">
            <w:pPr>
              <w:spacing w:before="40" w:after="40"/>
              <w:rPr>
                <w:sz w:val="22"/>
                <w:lang w:val="es-ES"/>
              </w:rPr>
            </w:pPr>
            <w:r w:rsidRPr="00397F41">
              <w:rPr>
                <w:sz w:val="22"/>
                <w:lang w:val="es-ES"/>
              </w:rPr>
              <w:lastRenderedPageBreak/>
              <w:t>1.7</w:t>
            </w:r>
            <w:r w:rsidRPr="00397F41">
              <w:rPr>
                <w:sz w:val="22"/>
                <w:lang w:val="es-ES"/>
              </w:rPr>
              <w:tab/>
              <w:t xml:space="preserve">Así se </w:t>
            </w:r>
            <w:r w:rsidRPr="00397F41">
              <w:rPr>
                <w:b/>
                <w:bCs/>
                <w:sz w:val="22"/>
                <w:lang w:val="es-ES"/>
              </w:rPr>
              <w:t>acuerda</w:t>
            </w:r>
            <w:r w:rsidRPr="00397F41">
              <w:rPr>
                <w:sz w:val="22"/>
                <w:lang w:val="es-ES"/>
              </w:rPr>
              <w:t>.</w:t>
            </w:r>
          </w:p>
        </w:tc>
        <w:tc>
          <w:tcPr>
            <w:tcW w:w="1548" w:type="pct"/>
          </w:tcPr>
          <w:p w14:paraId="27EC081E" w14:textId="6918CBF8" w:rsidR="00967792" w:rsidRPr="00D2027A" w:rsidRDefault="00967792" w:rsidP="00B53355">
            <w:pPr>
              <w:pStyle w:val="Tabletext"/>
              <w:rPr>
                <w:rFonts w:asciiTheme="majorBidi" w:hAnsiTheme="majorBidi" w:cstheme="majorBidi"/>
                <w:szCs w:val="24"/>
                <w:lang w:val="es-ES"/>
              </w:rPr>
            </w:pPr>
            <w:r w:rsidRPr="00D2027A">
              <w:rPr>
                <w:rFonts w:asciiTheme="majorBidi" w:hAnsiTheme="majorBidi" w:cstheme="majorBidi"/>
                <w:szCs w:val="24"/>
                <w:lang w:val="es-ES"/>
              </w:rPr>
              <w:lastRenderedPageBreak/>
              <w:t xml:space="preserve">La RRB </w:t>
            </w:r>
            <w:r w:rsidRPr="00D2027A">
              <w:rPr>
                <w:rFonts w:asciiTheme="majorBidi" w:hAnsiTheme="majorBidi" w:cstheme="majorBidi"/>
                <w:szCs w:val="24"/>
                <w:lang w:val="es-ES" w:eastAsia="ja-JP"/>
              </w:rPr>
              <w:t xml:space="preserve">aprobó la Regla de Procedimiento </w:t>
            </w:r>
            <w:r w:rsidRPr="00D2027A">
              <w:rPr>
                <w:rFonts w:asciiTheme="majorBidi" w:hAnsiTheme="majorBidi" w:cstheme="majorBidi"/>
                <w:szCs w:val="24"/>
                <w:lang w:val="es-ES"/>
              </w:rPr>
              <w:t>relativa al número 6.16 del Apéndice </w:t>
            </w:r>
            <w:r w:rsidRPr="0086363C">
              <w:rPr>
                <w:rFonts w:asciiTheme="majorBidi" w:hAnsiTheme="majorBidi" w:cstheme="majorBidi"/>
                <w:b/>
                <w:bCs/>
                <w:szCs w:val="24"/>
                <w:lang w:val="es-ES"/>
              </w:rPr>
              <w:t>30B</w:t>
            </w:r>
            <w:r w:rsidRPr="00D2027A">
              <w:rPr>
                <w:rFonts w:asciiTheme="majorBidi" w:hAnsiTheme="majorBidi" w:cstheme="majorBidi"/>
                <w:szCs w:val="24"/>
                <w:lang w:val="es-ES"/>
              </w:rPr>
              <w:t xml:space="preserve"> en </w:t>
            </w:r>
            <w:r w:rsidRPr="00266695">
              <w:rPr>
                <w:lang w:val="es-ES"/>
              </w:rPr>
              <w:t>su</w:t>
            </w:r>
            <w:r w:rsidRPr="00D2027A">
              <w:rPr>
                <w:rFonts w:asciiTheme="majorBidi" w:hAnsiTheme="majorBidi" w:cstheme="majorBidi"/>
                <w:szCs w:val="24"/>
                <w:lang w:val="es-ES"/>
              </w:rPr>
              <w:t xml:space="preserve"> 60ª </w:t>
            </w:r>
            <w:r w:rsidR="00D156CD">
              <w:rPr>
                <w:rFonts w:asciiTheme="majorBidi" w:hAnsiTheme="majorBidi" w:cstheme="majorBidi"/>
                <w:szCs w:val="24"/>
                <w:lang w:val="es-ES"/>
              </w:rPr>
              <w:t>r</w:t>
            </w:r>
            <w:r w:rsidRPr="00D2027A">
              <w:rPr>
                <w:rFonts w:asciiTheme="majorBidi" w:hAnsiTheme="majorBidi" w:cstheme="majorBidi"/>
                <w:szCs w:val="24"/>
                <w:lang w:val="es-ES"/>
              </w:rPr>
              <w:t>eunión (</w:t>
            </w:r>
            <w:hyperlink r:id="rId116" w:history="1">
              <w:r w:rsidRPr="00D2027A">
                <w:rPr>
                  <w:rStyle w:val="Hyperlink"/>
                  <w:rFonts w:asciiTheme="majorBidi" w:hAnsiTheme="majorBidi" w:cstheme="majorBidi"/>
                  <w:szCs w:val="24"/>
                  <w:lang w:val="es-ES"/>
                </w:rPr>
                <w:t>CR/339</w:t>
              </w:r>
            </w:hyperlink>
            <w:r w:rsidRPr="00D2027A">
              <w:rPr>
                <w:rFonts w:asciiTheme="majorBidi" w:hAnsiTheme="majorBidi" w:cstheme="majorBidi"/>
                <w:szCs w:val="24"/>
                <w:lang w:val="es-ES"/>
              </w:rPr>
              <w:t>)</w:t>
            </w:r>
            <w:r w:rsidR="00D156CD">
              <w:rPr>
                <w:rFonts w:asciiTheme="majorBidi" w:hAnsiTheme="majorBidi" w:cstheme="majorBidi"/>
                <w:szCs w:val="24"/>
                <w:lang w:val="es-ES"/>
              </w:rPr>
              <w:t>.</w:t>
            </w:r>
          </w:p>
        </w:tc>
      </w:tr>
      <w:tr w:rsidR="00397F41" w:rsidRPr="00D2027A" w14:paraId="56B74189" w14:textId="77777777" w:rsidTr="00924C8B">
        <w:trPr>
          <w:jc w:val="center"/>
        </w:trPr>
        <w:tc>
          <w:tcPr>
            <w:tcW w:w="183" w:type="pct"/>
          </w:tcPr>
          <w:p w14:paraId="12D22617" w14:textId="77777777" w:rsidR="00397F41" w:rsidRPr="00A616CA" w:rsidRDefault="00397F41" w:rsidP="00B53355">
            <w:pPr>
              <w:pStyle w:val="Tabletext"/>
              <w:rPr>
                <w:lang w:val="es-ES"/>
              </w:rPr>
            </w:pPr>
            <w:r w:rsidRPr="00A616CA">
              <w:rPr>
                <w:lang w:val="es-ES"/>
              </w:rPr>
              <w:t>30</w:t>
            </w:r>
          </w:p>
        </w:tc>
        <w:tc>
          <w:tcPr>
            <w:tcW w:w="434" w:type="pct"/>
          </w:tcPr>
          <w:p w14:paraId="230BF4CF" w14:textId="77777777" w:rsidR="00397F41" w:rsidRPr="00A616CA" w:rsidRDefault="00397F41" w:rsidP="00B53355">
            <w:pPr>
              <w:pStyle w:val="Tabletext"/>
              <w:rPr>
                <w:lang w:val="es-ES"/>
              </w:rPr>
            </w:pPr>
            <w:r w:rsidRPr="00A616CA">
              <w:rPr>
                <w:lang w:val="es-ES"/>
              </w:rPr>
              <w:t>CMR-12</w:t>
            </w:r>
          </w:p>
        </w:tc>
        <w:tc>
          <w:tcPr>
            <w:tcW w:w="523" w:type="pct"/>
          </w:tcPr>
          <w:p w14:paraId="5BB9A0B0" w14:textId="50C80A0D" w:rsidR="00397F41" w:rsidRPr="00D2027A" w:rsidRDefault="00397F41" w:rsidP="00B53355">
            <w:pPr>
              <w:pStyle w:val="Tabletext"/>
              <w:rPr>
                <w:rFonts w:asciiTheme="majorBidi" w:hAnsiTheme="majorBidi" w:cstheme="majorBidi"/>
                <w:szCs w:val="24"/>
                <w:lang w:val="es-ES"/>
              </w:rPr>
            </w:pPr>
            <w:r w:rsidRPr="00D2027A">
              <w:rPr>
                <w:rFonts w:asciiTheme="majorBidi" w:hAnsiTheme="majorBidi" w:cstheme="majorBidi"/>
                <w:szCs w:val="24"/>
                <w:lang w:val="es-ES"/>
              </w:rPr>
              <w:t>9ª Plenaria</w:t>
            </w:r>
            <w:r>
              <w:rPr>
                <w:rFonts w:asciiTheme="majorBidi" w:hAnsiTheme="majorBidi" w:cstheme="majorBidi"/>
                <w:szCs w:val="24"/>
                <w:lang w:val="es-ES"/>
              </w:rPr>
              <w:br/>
            </w:r>
            <w:hyperlink r:id="rId117" w:history="1">
              <w:r w:rsidRPr="00D2027A">
                <w:rPr>
                  <w:rStyle w:val="Hyperlink"/>
                  <w:rFonts w:asciiTheme="majorBidi" w:hAnsiTheme="majorBidi" w:cstheme="majorBidi"/>
                  <w:szCs w:val="24"/>
                  <w:lang w:val="es-ES"/>
                </w:rPr>
                <w:t>Doc. 550</w:t>
              </w:r>
            </w:hyperlink>
          </w:p>
        </w:tc>
        <w:tc>
          <w:tcPr>
            <w:tcW w:w="2312" w:type="pct"/>
          </w:tcPr>
          <w:p w14:paraId="7B567965" w14:textId="282A95D0" w:rsidR="00397F41" w:rsidRPr="00397F41" w:rsidRDefault="00397F41" w:rsidP="00B53355">
            <w:pPr>
              <w:spacing w:before="40" w:after="40"/>
              <w:rPr>
                <w:sz w:val="22"/>
                <w:lang w:val="es-ES"/>
              </w:rPr>
            </w:pPr>
            <w:r w:rsidRPr="00397F41">
              <w:rPr>
                <w:sz w:val="22"/>
                <w:lang w:val="es-ES"/>
              </w:rPr>
              <w:t>4.3</w:t>
            </w:r>
            <w:r w:rsidRPr="00397F41">
              <w:rPr>
                <w:sz w:val="22"/>
                <w:lang w:val="es-ES"/>
              </w:rPr>
              <w:tab/>
              <w:t xml:space="preserve">El </w:t>
            </w:r>
            <w:r w:rsidRPr="00397F41">
              <w:rPr>
                <w:b/>
                <w:bCs/>
                <w:sz w:val="22"/>
                <w:lang w:val="es-ES"/>
              </w:rPr>
              <w:t>Presidente de la Comisión 5</w:t>
            </w:r>
            <w:r w:rsidRPr="00397F41">
              <w:rPr>
                <w:sz w:val="22"/>
                <w:lang w:val="es-ES"/>
              </w:rPr>
              <w:t xml:space="preserve"> llama la atención sobre el § 1 del cuarto Informe de la Comisión 5 a la Sesión Plenaria, contenido en el </w:t>
            </w:r>
            <w:hyperlink r:id="rId118" w:history="1">
              <w:r w:rsidRPr="00397F41">
                <w:rPr>
                  <w:rStyle w:val="Hyperlink"/>
                  <w:sz w:val="22"/>
                  <w:lang w:val="es-ES"/>
                </w:rPr>
                <w:t>Documento 450</w:t>
              </w:r>
            </w:hyperlink>
            <w:r w:rsidRPr="00397F41">
              <w:rPr>
                <w:sz w:val="22"/>
                <w:lang w:val="es-ES"/>
              </w:rPr>
              <w:t>, que tiene implicaciones sobre el Artículo 11: la Comisión 5 propone incluir el siguiente texto en las Actas de la reunión como una decisión de la Conferencia:</w:t>
            </w:r>
          </w:p>
          <w:p w14:paraId="3F7C0264" w14:textId="57E2EF59" w:rsidR="00397F41" w:rsidRPr="00397F41" w:rsidRDefault="00397F41" w:rsidP="00B53355">
            <w:pPr>
              <w:pStyle w:val="enumlev1"/>
              <w:spacing w:before="40" w:after="40"/>
              <w:rPr>
                <w:sz w:val="22"/>
                <w:lang w:val="es-ES"/>
              </w:rPr>
            </w:pPr>
            <w:r w:rsidRPr="00397F41">
              <w:rPr>
                <w:sz w:val="22"/>
                <w:lang w:val="es-ES"/>
              </w:rPr>
              <w:tab/>
              <w:t>«Al adoptar las modificaciones de los números </w:t>
            </w:r>
            <w:r w:rsidRPr="00397F41">
              <w:rPr>
                <w:b/>
                <w:bCs/>
                <w:sz w:val="22"/>
                <w:lang w:val="es-ES"/>
              </w:rPr>
              <w:t>11.41</w:t>
            </w:r>
            <w:r w:rsidRPr="00397F41">
              <w:rPr>
                <w:sz w:val="22"/>
                <w:lang w:val="es-ES"/>
              </w:rPr>
              <w:t xml:space="preserve"> y </w:t>
            </w:r>
            <w:r w:rsidRPr="00397F41">
              <w:rPr>
                <w:b/>
                <w:bCs/>
                <w:sz w:val="22"/>
                <w:lang w:val="es-ES"/>
              </w:rPr>
              <w:t>11.42</w:t>
            </w:r>
            <w:r w:rsidRPr="00397F41">
              <w:rPr>
                <w:sz w:val="22"/>
                <w:lang w:val="es-ES"/>
              </w:rPr>
              <w:t>, así como la adición del número </w:t>
            </w:r>
            <w:r w:rsidRPr="00397F41">
              <w:rPr>
                <w:b/>
                <w:bCs/>
                <w:sz w:val="22"/>
                <w:lang w:val="es-ES"/>
              </w:rPr>
              <w:t>11.42</w:t>
            </w:r>
            <w:r w:rsidRPr="00397F41">
              <w:rPr>
                <w:b/>
                <w:bCs/>
                <w:i/>
                <w:iCs/>
                <w:sz w:val="22"/>
                <w:lang w:val="es-ES"/>
              </w:rPr>
              <w:t>bis</w:t>
            </w:r>
            <w:r w:rsidRPr="00397F41">
              <w:rPr>
                <w:sz w:val="22"/>
                <w:lang w:val="es-ES"/>
              </w:rPr>
              <w:t>, la CMR</w:t>
            </w:r>
            <w:r w:rsidRPr="00397F41">
              <w:rPr>
                <w:sz w:val="22"/>
                <w:lang w:val="es-ES"/>
              </w:rPr>
              <w:noBreakHyphen/>
              <w:t xml:space="preserve">12 reconoce que, al aplicar el número </w:t>
            </w:r>
            <w:r w:rsidRPr="00397F41">
              <w:rPr>
                <w:b/>
                <w:bCs/>
                <w:sz w:val="22"/>
                <w:lang w:val="es-ES"/>
              </w:rPr>
              <w:t>11.41</w:t>
            </w:r>
            <w:r w:rsidRPr="00397F41">
              <w:rPr>
                <w:sz w:val="22"/>
                <w:lang w:val="es-ES"/>
              </w:rPr>
              <w:t xml:space="preserve"> para inscribir una asignación en el MIFR con arreglo a esta disposición, la administración notificante se compromete a cumplir lo estipulado en el número </w:t>
            </w:r>
            <w:r w:rsidRPr="00397F41">
              <w:rPr>
                <w:b/>
                <w:bCs/>
                <w:sz w:val="22"/>
                <w:lang w:val="es-ES"/>
              </w:rPr>
              <w:t>11.42</w:t>
            </w:r>
            <w:r w:rsidRPr="00397F41">
              <w:rPr>
                <w:sz w:val="22"/>
                <w:lang w:val="es-ES"/>
              </w:rPr>
              <w:t>, en su forma enmendada por la presente Conferencia, en lo que respecta a las asignaciones de frecuencias a servicios espaciales y terrenales atribuidos en la misma banda de frecuencias con igualdad de derechos»</w:t>
            </w:r>
            <w:r w:rsidR="0086363C" w:rsidRPr="00397F41">
              <w:rPr>
                <w:sz w:val="22"/>
                <w:lang w:val="es-ES"/>
              </w:rPr>
              <w:t>.</w:t>
            </w:r>
          </w:p>
          <w:p w14:paraId="137482FC" w14:textId="77777777" w:rsidR="00397F41" w:rsidRPr="00397F41" w:rsidRDefault="00397F41" w:rsidP="00B53355">
            <w:pPr>
              <w:spacing w:before="40" w:after="40"/>
              <w:rPr>
                <w:sz w:val="22"/>
                <w:lang w:val="es-ES"/>
              </w:rPr>
            </w:pPr>
            <w:r w:rsidRPr="00397F41">
              <w:rPr>
                <w:sz w:val="22"/>
                <w:lang w:val="es-ES"/>
              </w:rPr>
              <w:t>4.4</w:t>
            </w:r>
            <w:r w:rsidRPr="00397F41">
              <w:rPr>
                <w:sz w:val="22"/>
                <w:lang w:val="es-ES"/>
              </w:rPr>
              <w:tab/>
              <w:t xml:space="preserve">El </w:t>
            </w:r>
            <w:r w:rsidRPr="00397F41">
              <w:rPr>
                <w:b/>
                <w:bCs/>
                <w:sz w:val="22"/>
                <w:lang w:val="es-ES"/>
              </w:rPr>
              <w:t>Presidente</w:t>
            </w:r>
            <w:r w:rsidRPr="00397F41">
              <w:rPr>
                <w:sz w:val="22"/>
                <w:lang w:val="es-ES"/>
              </w:rPr>
              <w:t xml:space="preserve"> considera que la Conferencia puede adoptar el texto anterior como propia decisión.</w:t>
            </w:r>
          </w:p>
          <w:p w14:paraId="77D1AA0D" w14:textId="77777777" w:rsidR="00397F41" w:rsidRPr="00397F41" w:rsidRDefault="00397F41" w:rsidP="00B53355">
            <w:pPr>
              <w:spacing w:before="40" w:after="40"/>
              <w:rPr>
                <w:sz w:val="22"/>
                <w:lang w:val="es-ES"/>
              </w:rPr>
            </w:pPr>
            <w:r w:rsidRPr="00397F41">
              <w:rPr>
                <w:sz w:val="22"/>
                <w:lang w:val="es-ES"/>
              </w:rPr>
              <w:t>4.5</w:t>
            </w:r>
            <w:r w:rsidRPr="00397F41">
              <w:rPr>
                <w:sz w:val="22"/>
                <w:lang w:val="es-ES"/>
              </w:rPr>
              <w:tab/>
              <w:t xml:space="preserve">Así se </w:t>
            </w:r>
            <w:r w:rsidRPr="00397F41">
              <w:rPr>
                <w:b/>
                <w:bCs/>
                <w:sz w:val="22"/>
                <w:lang w:val="es-ES"/>
              </w:rPr>
              <w:t>acuerda</w:t>
            </w:r>
            <w:r w:rsidRPr="00397F41">
              <w:rPr>
                <w:sz w:val="22"/>
                <w:lang w:val="es-ES"/>
              </w:rPr>
              <w:t>.</w:t>
            </w:r>
          </w:p>
          <w:p w14:paraId="4175B0E1" w14:textId="77777777" w:rsidR="00397F41" w:rsidRPr="00397F41" w:rsidRDefault="00397F41" w:rsidP="00B53355">
            <w:pPr>
              <w:spacing w:before="40" w:after="40"/>
              <w:rPr>
                <w:sz w:val="22"/>
                <w:lang w:val="es-ES"/>
              </w:rPr>
            </w:pPr>
            <w:r w:rsidRPr="00397F41">
              <w:rPr>
                <w:sz w:val="22"/>
                <w:lang w:val="es-ES"/>
              </w:rPr>
              <w:t>4.6</w:t>
            </w:r>
            <w:r w:rsidRPr="00397F41">
              <w:rPr>
                <w:sz w:val="22"/>
                <w:lang w:val="es-ES"/>
              </w:rPr>
              <w:tab/>
              <w:t xml:space="preserve">El </w:t>
            </w:r>
            <w:r w:rsidRPr="00397F41">
              <w:rPr>
                <w:b/>
                <w:bCs/>
                <w:sz w:val="22"/>
                <w:lang w:val="es-ES"/>
              </w:rPr>
              <w:t>delegado de la República Islámica del Irán</w:t>
            </w:r>
            <w:r w:rsidRPr="00397F41">
              <w:rPr>
                <w:sz w:val="22"/>
                <w:lang w:val="es-ES"/>
              </w:rPr>
              <w:t xml:space="preserve"> sugiere que sería útil recopilar las decisiones de la CMR</w:t>
            </w:r>
            <w:r w:rsidRPr="00397F41">
              <w:rPr>
                <w:sz w:val="22"/>
                <w:lang w:val="es-ES"/>
              </w:rPr>
              <w:noBreakHyphen/>
              <w:t>12 inscritas en las actas de la Sesión Plenaria y publicar la recopilación de todas las delegaciones en un solo documento tras la Conferencia.</w:t>
            </w:r>
          </w:p>
          <w:p w14:paraId="5B0F80D4" w14:textId="77777777" w:rsidR="00397F41" w:rsidRPr="00397F41" w:rsidRDefault="00397F41" w:rsidP="00B53355">
            <w:pPr>
              <w:spacing w:before="40" w:after="40"/>
              <w:rPr>
                <w:sz w:val="22"/>
                <w:lang w:val="es-ES"/>
              </w:rPr>
            </w:pPr>
            <w:r w:rsidRPr="00397F41">
              <w:rPr>
                <w:sz w:val="22"/>
                <w:lang w:val="es-ES"/>
              </w:rPr>
              <w:t>4.7</w:t>
            </w:r>
            <w:r w:rsidRPr="00397F41">
              <w:rPr>
                <w:sz w:val="22"/>
                <w:lang w:val="es-ES"/>
              </w:rPr>
              <w:tab/>
              <w:t xml:space="preserve">El </w:t>
            </w:r>
            <w:r w:rsidRPr="00397F41">
              <w:rPr>
                <w:b/>
                <w:bCs/>
                <w:sz w:val="22"/>
                <w:lang w:val="es-ES"/>
              </w:rPr>
              <w:t>Presidente</w:t>
            </w:r>
            <w:r w:rsidRPr="00397F41">
              <w:rPr>
                <w:sz w:val="22"/>
                <w:lang w:val="es-ES"/>
              </w:rPr>
              <w:t xml:space="preserve"> está de acuerdo.</w:t>
            </w:r>
          </w:p>
        </w:tc>
        <w:tc>
          <w:tcPr>
            <w:tcW w:w="1548" w:type="pct"/>
          </w:tcPr>
          <w:p w14:paraId="0A576B2D" w14:textId="45A75915" w:rsidR="00397F41" w:rsidRPr="00266695" w:rsidRDefault="00397F41" w:rsidP="00B53355">
            <w:pPr>
              <w:pStyle w:val="Tabletext"/>
              <w:rPr>
                <w:lang w:val="es-ES"/>
              </w:rPr>
            </w:pPr>
          </w:p>
        </w:tc>
      </w:tr>
      <w:tr w:rsidR="00967792" w:rsidRPr="00D2027A" w14:paraId="62729DD3" w14:textId="77777777" w:rsidTr="00924C8B">
        <w:trPr>
          <w:jc w:val="center"/>
        </w:trPr>
        <w:tc>
          <w:tcPr>
            <w:tcW w:w="183" w:type="pct"/>
          </w:tcPr>
          <w:p w14:paraId="4F5A1AB5" w14:textId="77777777" w:rsidR="00967792" w:rsidRPr="00A616CA" w:rsidRDefault="00967792" w:rsidP="00B53355">
            <w:pPr>
              <w:pStyle w:val="Tabletext"/>
              <w:rPr>
                <w:lang w:val="es-ES"/>
              </w:rPr>
            </w:pPr>
            <w:r w:rsidRPr="00A616CA">
              <w:rPr>
                <w:lang w:val="es-ES"/>
              </w:rPr>
              <w:t>31</w:t>
            </w:r>
          </w:p>
        </w:tc>
        <w:tc>
          <w:tcPr>
            <w:tcW w:w="434" w:type="pct"/>
          </w:tcPr>
          <w:p w14:paraId="4EBF67D9" w14:textId="77777777" w:rsidR="00967792" w:rsidRPr="00A616CA" w:rsidRDefault="00967792" w:rsidP="00B53355">
            <w:pPr>
              <w:pStyle w:val="Tabletext"/>
              <w:rPr>
                <w:lang w:val="es-ES"/>
              </w:rPr>
            </w:pPr>
            <w:r w:rsidRPr="00A616CA">
              <w:rPr>
                <w:lang w:val="es-ES"/>
              </w:rPr>
              <w:t>CMR-12</w:t>
            </w:r>
          </w:p>
        </w:tc>
        <w:tc>
          <w:tcPr>
            <w:tcW w:w="523" w:type="pct"/>
          </w:tcPr>
          <w:p w14:paraId="313690B0" w14:textId="0B106B94" w:rsidR="00967792" w:rsidRPr="00D2027A" w:rsidRDefault="00967792" w:rsidP="00B53355">
            <w:pPr>
              <w:pStyle w:val="Tabletext"/>
              <w:rPr>
                <w:rFonts w:asciiTheme="majorBidi" w:hAnsiTheme="majorBidi" w:cstheme="majorBidi"/>
                <w:szCs w:val="24"/>
                <w:lang w:val="es-ES"/>
              </w:rPr>
            </w:pPr>
            <w:r w:rsidRPr="00D2027A">
              <w:rPr>
                <w:rFonts w:asciiTheme="majorBidi" w:hAnsiTheme="majorBidi" w:cstheme="majorBidi"/>
                <w:szCs w:val="24"/>
                <w:lang w:val="es-ES"/>
              </w:rPr>
              <w:t>11ª Plenaria</w:t>
            </w:r>
            <w:r w:rsidR="00397F41">
              <w:rPr>
                <w:rFonts w:asciiTheme="majorBidi" w:hAnsiTheme="majorBidi" w:cstheme="majorBidi"/>
                <w:szCs w:val="24"/>
                <w:lang w:val="es-ES"/>
              </w:rPr>
              <w:br/>
            </w:r>
            <w:hyperlink r:id="rId119" w:history="1">
              <w:r w:rsidRPr="00D2027A">
                <w:rPr>
                  <w:rStyle w:val="Hyperlink"/>
                  <w:rFonts w:asciiTheme="majorBidi" w:hAnsiTheme="majorBidi" w:cstheme="majorBidi"/>
                  <w:szCs w:val="24"/>
                  <w:lang w:val="es-ES"/>
                </w:rPr>
                <w:t>Doc. 552</w:t>
              </w:r>
            </w:hyperlink>
          </w:p>
        </w:tc>
        <w:tc>
          <w:tcPr>
            <w:tcW w:w="2312" w:type="pct"/>
          </w:tcPr>
          <w:p w14:paraId="15596B6F" w14:textId="0C460411" w:rsidR="00967792" w:rsidRPr="00397F41" w:rsidRDefault="00967792" w:rsidP="00B53355">
            <w:pPr>
              <w:spacing w:before="40" w:after="40"/>
              <w:rPr>
                <w:sz w:val="22"/>
                <w:lang w:val="es-ES"/>
              </w:rPr>
            </w:pPr>
            <w:r w:rsidRPr="00397F41">
              <w:rPr>
                <w:sz w:val="22"/>
                <w:lang w:val="es-ES"/>
              </w:rPr>
              <w:t>1.1</w:t>
            </w:r>
            <w:r w:rsidRPr="00397F41">
              <w:rPr>
                <w:sz w:val="22"/>
                <w:lang w:val="es-ES"/>
              </w:rPr>
              <w:tab/>
              <w:t xml:space="preserve">El </w:t>
            </w:r>
            <w:r w:rsidRPr="00397F41">
              <w:rPr>
                <w:b/>
                <w:bCs/>
                <w:sz w:val="22"/>
                <w:lang w:val="es-ES"/>
              </w:rPr>
              <w:t>Presidente de la Comisión 5</w:t>
            </w:r>
            <w:r w:rsidRPr="00397F41">
              <w:rPr>
                <w:sz w:val="22"/>
                <w:lang w:val="es-ES"/>
              </w:rPr>
              <w:t xml:space="preserve"> declara que el </w:t>
            </w:r>
            <w:hyperlink r:id="rId120" w:history="1">
              <w:r w:rsidRPr="00397F41">
                <w:rPr>
                  <w:rStyle w:val="Hyperlink"/>
                  <w:sz w:val="22"/>
                  <w:lang w:val="es-ES"/>
                </w:rPr>
                <w:t>Documento 517</w:t>
              </w:r>
            </w:hyperlink>
            <w:r w:rsidRPr="00397F41">
              <w:rPr>
                <w:sz w:val="22"/>
                <w:lang w:val="es-ES"/>
              </w:rPr>
              <w:t xml:space="preserve"> trata de una solicitud específica de Bulgaria sobre una derogación excepcional a las limitaciones orbitales contenidas en el Anexo 7 al Apéndice 30A al Reglamento de Radiocomunicaciones. La Comisión 5 propone que se acepte esa solicitud a reserva de las condiciones indicadas en el </w:t>
            </w:r>
            <w:hyperlink r:id="rId121" w:history="1">
              <w:r w:rsidRPr="00397F41">
                <w:rPr>
                  <w:rStyle w:val="Hyperlink"/>
                  <w:sz w:val="22"/>
                  <w:lang w:val="es-ES"/>
                </w:rPr>
                <w:t>Documento 517</w:t>
              </w:r>
            </w:hyperlink>
            <w:r w:rsidRPr="00397F41">
              <w:rPr>
                <w:sz w:val="22"/>
                <w:lang w:val="es-ES"/>
              </w:rPr>
              <w:t xml:space="preserve">; y que a tal efecto la Plenaria adopte el texto que figura entre comillas en el </w:t>
            </w:r>
            <w:hyperlink r:id="rId122" w:history="1">
              <w:r w:rsidRPr="00397F41">
                <w:rPr>
                  <w:rStyle w:val="Hyperlink"/>
                  <w:sz w:val="22"/>
                  <w:lang w:val="es-ES"/>
                </w:rPr>
                <w:t>Documento 517</w:t>
              </w:r>
            </w:hyperlink>
            <w:r w:rsidRPr="00397F41">
              <w:rPr>
                <w:sz w:val="22"/>
                <w:lang w:val="es-ES"/>
              </w:rPr>
              <w:t>.</w:t>
            </w:r>
          </w:p>
          <w:p w14:paraId="227B3D58" w14:textId="77777777" w:rsidR="00967792" w:rsidRPr="00397F41" w:rsidRDefault="00967792" w:rsidP="00B53355">
            <w:pPr>
              <w:spacing w:before="40" w:after="40"/>
              <w:rPr>
                <w:sz w:val="22"/>
                <w:lang w:val="es-ES"/>
              </w:rPr>
            </w:pPr>
            <w:r w:rsidRPr="00397F41">
              <w:rPr>
                <w:sz w:val="22"/>
                <w:lang w:val="es-ES"/>
              </w:rPr>
              <w:t>1.2</w:t>
            </w:r>
            <w:r w:rsidRPr="00397F41">
              <w:rPr>
                <w:sz w:val="22"/>
                <w:lang w:val="es-ES"/>
              </w:rPr>
              <w:tab/>
              <w:t>El</w:t>
            </w:r>
            <w:r w:rsidRPr="00397F41">
              <w:rPr>
                <w:b/>
                <w:bCs/>
                <w:sz w:val="22"/>
                <w:lang w:val="es-ES"/>
              </w:rPr>
              <w:t xml:space="preserve"> Presidente</w:t>
            </w:r>
            <w:r w:rsidRPr="00397F41">
              <w:rPr>
                <w:sz w:val="22"/>
                <w:lang w:val="es-ES"/>
              </w:rPr>
              <w:t xml:space="preserve"> se remite al texto de la propuesta y declara que es la «CMR-12» y no «la Plenaria» la que da instrucciones a la Oficina </w:t>
            </w:r>
            <w:r w:rsidRPr="00397F41">
              <w:rPr>
                <w:sz w:val="22"/>
                <w:lang w:val="es-ES"/>
              </w:rPr>
              <w:lastRenderedPageBreak/>
              <w:t>de Radiocomunicaciones. Considera que la Conferencia está dispuesta a adoptar la decisión propuesta por la Comisión 5 y enmendada en consecuencia, que se reproduce en el Anexo A a la presente Acta.</w:t>
            </w:r>
          </w:p>
          <w:p w14:paraId="6CED1F66" w14:textId="77777777" w:rsidR="00967792" w:rsidRPr="00397F41" w:rsidRDefault="00967792" w:rsidP="00B53355">
            <w:pPr>
              <w:spacing w:before="40" w:after="40"/>
              <w:rPr>
                <w:sz w:val="22"/>
                <w:lang w:val="es-ES"/>
              </w:rPr>
            </w:pPr>
            <w:r w:rsidRPr="00397F41">
              <w:rPr>
                <w:sz w:val="22"/>
                <w:lang w:val="es-ES"/>
              </w:rPr>
              <w:t>1.3</w:t>
            </w:r>
            <w:r w:rsidRPr="00397F41">
              <w:rPr>
                <w:sz w:val="22"/>
                <w:lang w:val="es-ES"/>
              </w:rPr>
              <w:tab/>
              <w:t xml:space="preserve">Así se </w:t>
            </w:r>
            <w:r w:rsidRPr="00397F41">
              <w:rPr>
                <w:b/>
                <w:bCs/>
                <w:sz w:val="22"/>
                <w:lang w:val="es-ES"/>
              </w:rPr>
              <w:t>acuerda</w:t>
            </w:r>
            <w:r w:rsidRPr="00397F41">
              <w:rPr>
                <w:sz w:val="22"/>
                <w:lang w:val="es-ES"/>
              </w:rPr>
              <w:t>.</w:t>
            </w:r>
          </w:p>
        </w:tc>
        <w:tc>
          <w:tcPr>
            <w:tcW w:w="1548" w:type="pct"/>
          </w:tcPr>
          <w:p w14:paraId="41CCA214" w14:textId="7563568C" w:rsidR="00967792" w:rsidRPr="00D2027A" w:rsidRDefault="00967792" w:rsidP="00B53355">
            <w:pPr>
              <w:pStyle w:val="Tabletext"/>
              <w:rPr>
                <w:rFonts w:asciiTheme="majorBidi" w:hAnsiTheme="majorBidi" w:cstheme="majorBidi"/>
                <w:i/>
                <w:iCs/>
                <w:szCs w:val="24"/>
                <w:lang w:val="es-ES"/>
              </w:rPr>
            </w:pPr>
            <w:r w:rsidRPr="00D2027A">
              <w:rPr>
                <w:rFonts w:asciiTheme="majorBidi" w:hAnsiTheme="majorBidi" w:cstheme="majorBidi"/>
                <w:i/>
                <w:iCs/>
                <w:szCs w:val="24"/>
                <w:lang w:val="es-ES"/>
              </w:rPr>
              <w:lastRenderedPageBreak/>
              <w:t>La comunicación recibida el 19</w:t>
            </w:r>
            <w:r w:rsidR="00397F41">
              <w:rPr>
                <w:rFonts w:asciiTheme="majorBidi" w:hAnsiTheme="majorBidi" w:cstheme="majorBidi"/>
                <w:i/>
                <w:iCs/>
                <w:szCs w:val="24"/>
                <w:lang w:val="es-ES"/>
              </w:rPr>
              <w:t>/</w:t>
            </w:r>
            <w:r w:rsidRPr="00D2027A">
              <w:rPr>
                <w:rFonts w:asciiTheme="majorBidi" w:hAnsiTheme="majorBidi" w:cstheme="majorBidi"/>
                <w:i/>
                <w:iCs/>
                <w:szCs w:val="24"/>
                <w:lang w:val="es-ES"/>
              </w:rPr>
              <w:t>03</w:t>
            </w:r>
            <w:r w:rsidR="00397F41">
              <w:rPr>
                <w:rFonts w:asciiTheme="majorBidi" w:hAnsiTheme="majorBidi" w:cstheme="majorBidi"/>
                <w:i/>
                <w:iCs/>
                <w:szCs w:val="24"/>
                <w:lang w:val="es-ES"/>
              </w:rPr>
              <w:t>/</w:t>
            </w:r>
            <w:r w:rsidRPr="00D2027A">
              <w:rPr>
                <w:rFonts w:asciiTheme="majorBidi" w:hAnsiTheme="majorBidi" w:cstheme="majorBidi"/>
                <w:i/>
                <w:iCs/>
                <w:szCs w:val="24"/>
                <w:lang w:val="es-ES"/>
              </w:rPr>
              <w:t>2012 se tramitó con arreglo a la decisión.</w:t>
            </w:r>
          </w:p>
        </w:tc>
      </w:tr>
      <w:tr w:rsidR="00397F41" w:rsidRPr="00D2027A" w14:paraId="7B99C3A9" w14:textId="77777777" w:rsidTr="00924C8B">
        <w:trPr>
          <w:jc w:val="center"/>
        </w:trPr>
        <w:tc>
          <w:tcPr>
            <w:tcW w:w="183" w:type="pct"/>
          </w:tcPr>
          <w:p w14:paraId="621D8935" w14:textId="77777777" w:rsidR="00397F41" w:rsidRPr="00A616CA" w:rsidRDefault="00397F41" w:rsidP="00B53355">
            <w:pPr>
              <w:pStyle w:val="Tabletext"/>
              <w:rPr>
                <w:lang w:val="es-ES"/>
              </w:rPr>
            </w:pPr>
            <w:r w:rsidRPr="00A616CA">
              <w:rPr>
                <w:lang w:val="es-ES"/>
              </w:rPr>
              <w:t>32</w:t>
            </w:r>
          </w:p>
        </w:tc>
        <w:tc>
          <w:tcPr>
            <w:tcW w:w="434" w:type="pct"/>
          </w:tcPr>
          <w:p w14:paraId="2225A320" w14:textId="77777777" w:rsidR="00397F41" w:rsidRPr="00A616CA" w:rsidRDefault="00397F41" w:rsidP="00B53355">
            <w:pPr>
              <w:pStyle w:val="Tabletext"/>
              <w:rPr>
                <w:lang w:val="es-ES"/>
              </w:rPr>
            </w:pPr>
            <w:r w:rsidRPr="00A616CA">
              <w:rPr>
                <w:lang w:val="es-ES"/>
              </w:rPr>
              <w:t>CMR-12</w:t>
            </w:r>
          </w:p>
        </w:tc>
        <w:tc>
          <w:tcPr>
            <w:tcW w:w="523" w:type="pct"/>
          </w:tcPr>
          <w:p w14:paraId="447977F2" w14:textId="56896BCB" w:rsidR="00397F41" w:rsidRPr="00D2027A" w:rsidRDefault="00397F41" w:rsidP="00B53355">
            <w:pPr>
              <w:pStyle w:val="Tabletext"/>
              <w:rPr>
                <w:rFonts w:asciiTheme="majorBidi" w:hAnsiTheme="majorBidi" w:cstheme="majorBidi"/>
                <w:szCs w:val="24"/>
                <w:lang w:val="es-ES"/>
              </w:rPr>
            </w:pPr>
            <w:r w:rsidRPr="00D2027A">
              <w:rPr>
                <w:rFonts w:asciiTheme="majorBidi" w:hAnsiTheme="majorBidi" w:cstheme="majorBidi"/>
                <w:szCs w:val="24"/>
                <w:lang w:val="es-ES"/>
              </w:rPr>
              <w:t>11ª Plenaria</w:t>
            </w:r>
            <w:r>
              <w:rPr>
                <w:rFonts w:asciiTheme="majorBidi" w:hAnsiTheme="majorBidi" w:cstheme="majorBidi"/>
                <w:szCs w:val="24"/>
                <w:lang w:val="es-ES"/>
              </w:rPr>
              <w:br/>
            </w:r>
            <w:hyperlink r:id="rId123" w:history="1">
              <w:r w:rsidRPr="00D2027A">
                <w:rPr>
                  <w:rStyle w:val="Hyperlink"/>
                  <w:rFonts w:asciiTheme="majorBidi" w:hAnsiTheme="majorBidi" w:cstheme="majorBidi"/>
                  <w:szCs w:val="24"/>
                  <w:lang w:val="es-ES"/>
                </w:rPr>
                <w:t>Doc. 552</w:t>
              </w:r>
            </w:hyperlink>
          </w:p>
        </w:tc>
        <w:tc>
          <w:tcPr>
            <w:tcW w:w="2312" w:type="pct"/>
          </w:tcPr>
          <w:p w14:paraId="02FB5F93" w14:textId="77777777" w:rsidR="00397F41" w:rsidRPr="00397F41" w:rsidRDefault="00397F41" w:rsidP="00B53355">
            <w:pPr>
              <w:spacing w:before="40" w:after="40"/>
              <w:rPr>
                <w:sz w:val="22"/>
                <w:lang w:val="es-ES"/>
              </w:rPr>
            </w:pPr>
            <w:r w:rsidRPr="00397F41">
              <w:rPr>
                <w:sz w:val="22"/>
                <w:lang w:val="es-ES"/>
              </w:rPr>
              <w:t>1.8</w:t>
            </w:r>
            <w:r w:rsidRPr="00397F41">
              <w:rPr>
                <w:sz w:val="22"/>
                <w:lang w:val="es-ES"/>
              </w:rPr>
              <w:tab/>
              <w:t xml:space="preserve">El </w:t>
            </w:r>
            <w:r w:rsidRPr="00397F41">
              <w:rPr>
                <w:b/>
                <w:bCs/>
                <w:sz w:val="22"/>
                <w:lang w:val="es-ES"/>
              </w:rPr>
              <w:t>Presidente</w:t>
            </w:r>
            <w:r w:rsidRPr="00397F41">
              <w:rPr>
                <w:sz w:val="22"/>
                <w:lang w:val="es-ES"/>
              </w:rPr>
              <w:t xml:space="preserve"> considera que la Conferencia ha aprobado la recomendación de la Comisión 5 de acceder a la solicitud de la República Islámica del Irán de que se restablezca la notificación de la red de satélites ZOHREH-1.</w:t>
            </w:r>
          </w:p>
          <w:p w14:paraId="008E4A05" w14:textId="77777777" w:rsidR="00397F41" w:rsidRPr="00397F41" w:rsidRDefault="00397F41" w:rsidP="00B53355">
            <w:pPr>
              <w:spacing w:before="40" w:after="40"/>
              <w:rPr>
                <w:b/>
                <w:bCs/>
                <w:sz w:val="22"/>
                <w:lang w:val="es-ES"/>
              </w:rPr>
            </w:pPr>
            <w:r w:rsidRPr="00397F41">
              <w:rPr>
                <w:sz w:val="22"/>
                <w:lang w:val="es-ES"/>
              </w:rPr>
              <w:t>1.9</w:t>
            </w:r>
            <w:r w:rsidRPr="00397F41">
              <w:rPr>
                <w:sz w:val="22"/>
                <w:lang w:val="es-ES"/>
              </w:rPr>
              <w:tab/>
              <w:t xml:space="preserve">Así se </w:t>
            </w:r>
            <w:r w:rsidRPr="00397F41">
              <w:rPr>
                <w:b/>
                <w:bCs/>
                <w:sz w:val="22"/>
                <w:lang w:val="es-ES"/>
              </w:rPr>
              <w:t>acuerda</w:t>
            </w:r>
            <w:r w:rsidRPr="00397F41">
              <w:rPr>
                <w:sz w:val="22"/>
                <w:lang w:val="es-ES"/>
              </w:rPr>
              <w:t>.</w:t>
            </w:r>
          </w:p>
        </w:tc>
        <w:tc>
          <w:tcPr>
            <w:tcW w:w="1548" w:type="pct"/>
          </w:tcPr>
          <w:p w14:paraId="1F7C38BF" w14:textId="3E9370B8" w:rsidR="00397F41" w:rsidRPr="00266695" w:rsidRDefault="00397F41" w:rsidP="00B53355">
            <w:pPr>
              <w:pStyle w:val="Tabletext"/>
              <w:rPr>
                <w:lang w:val="es-ES"/>
              </w:rPr>
            </w:pPr>
          </w:p>
        </w:tc>
      </w:tr>
      <w:tr w:rsidR="00967792" w:rsidRPr="00D2027A" w14:paraId="1032B30D" w14:textId="77777777" w:rsidTr="00924C8B">
        <w:trPr>
          <w:jc w:val="center"/>
        </w:trPr>
        <w:tc>
          <w:tcPr>
            <w:tcW w:w="183" w:type="pct"/>
          </w:tcPr>
          <w:p w14:paraId="54F42726" w14:textId="77777777" w:rsidR="00967792" w:rsidRPr="00A616CA" w:rsidRDefault="00967792" w:rsidP="00B53355">
            <w:pPr>
              <w:pStyle w:val="Tabletext"/>
              <w:rPr>
                <w:lang w:val="es-ES"/>
              </w:rPr>
            </w:pPr>
            <w:r w:rsidRPr="00A616CA">
              <w:rPr>
                <w:lang w:val="es-ES"/>
              </w:rPr>
              <w:t>33</w:t>
            </w:r>
          </w:p>
        </w:tc>
        <w:tc>
          <w:tcPr>
            <w:tcW w:w="434" w:type="pct"/>
          </w:tcPr>
          <w:p w14:paraId="358EC747" w14:textId="77777777" w:rsidR="00967792" w:rsidRPr="00A616CA" w:rsidRDefault="00967792" w:rsidP="00B53355">
            <w:pPr>
              <w:pStyle w:val="Tabletext"/>
              <w:rPr>
                <w:lang w:val="es-ES"/>
              </w:rPr>
            </w:pPr>
            <w:r w:rsidRPr="00A616CA">
              <w:rPr>
                <w:lang w:val="es-ES"/>
              </w:rPr>
              <w:t>CMR-12</w:t>
            </w:r>
          </w:p>
        </w:tc>
        <w:tc>
          <w:tcPr>
            <w:tcW w:w="523" w:type="pct"/>
          </w:tcPr>
          <w:p w14:paraId="5EE49926" w14:textId="245FE640" w:rsidR="00967792" w:rsidRPr="00D2027A" w:rsidRDefault="00967792" w:rsidP="00B53355">
            <w:pPr>
              <w:pStyle w:val="Tabletext"/>
              <w:rPr>
                <w:rFonts w:asciiTheme="majorBidi" w:hAnsiTheme="majorBidi" w:cstheme="majorBidi"/>
                <w:szCs w:val="24"/>
                <w:lang w:val="es-ES"/>
              </w:rPr>
            </w:pPr>
            <w:r w:rsidRPr="00D2027A">
              <w:rPr>
                <w:rFonts w:asciiTheme="majorBidi" w:hAnsiTheme="majorBidi" w:cstheme="majorBidi"/>
                <w:szCs w:val="24"/>
                <w:lang w:val="es-ES"/>
              </w:rPr>
              <w:t>12ª Plenaria</w:t>
            </w:r>
            <w:r w:rsidR="00397F41">
              <w:rPr>
                <w:rFonts w:asciiTheme="majorBidi" w:hAnsiTheme="majorBidi" w:cstheme="majorBidi"/>
                <w:szCs w:val="24"/>
                <w:lang w:val="es-ES"/>
              </w:rPr>
              <w:br/>
            </w:r>
            <w:hyperlink r:id="rId124" w:history="1">
              <w:r w:rsidRPr="00D2027A">
                <w:rPr>
                  <w:rStyle w:val="Hyperlink"/>
                  <w:rFonts w:asciiTheme="majorBidi" w:hAnsiTheme="majorBidi" w:cstheme="majorBidi"/>
                  <w:szCs w:val="24"/>
                  <w:lang w:val="es-ES"/>
                </w:rPr>
                <w:t>Doc. 553</w:t>
              </w:r>
            </w:hyperlink>
          </w:p>
        </w:tc>
        <w:tc>
          <w:tcPr>
            <w:tcW w:w="2312" w:type="pct"/>
          </w:tcPr>
          <w:p w14:paraId="02D441D7" w14:textId="77777777" w:rsidR="00967792" w:rsidRPr="00397F41" w:rsidRDefault="00967792" w:rsidP="00B53355">
            <w:pPr>
              <w:pStyle w:val="Heading1"/>
              <w:spacing w:before="40" w:after="40"/>
              <w:outlineLvl w:val="0"/>
              <w:rPr>
                <w:sz w:val="22"/>
                <w:lang w:val="es-ES"/>
              </w:rPr>
            </w:pPr>
            <w:r w:rsidRPr="00397F41">
              <w:rPr>
                <w:sz w:val="22"/>
                <w:lang w:val="es-ES"/>
              </w:rPr>
              <w:t>9</w:t>
            </w:r>
            <w:r w:rsidRPr="00397F41">
              <w:rPr>
                <w:sz w:val="22"/>
                <w:lang w:val="es-ES"/>
              </w:rPr>
              <w:tab/>
              <w:t>Aplicabilidad del Apéndice 30B a la extensión de los periodos de suspensión de satélites de dos a tres años</w:t>
            </w:r>
          </w:p>
          <w:p w14:paraId="23EE9253" w14:textId="77777777" w:rsidR="00967792" w:rsidRPr="00397F41" w:rsidRDefault="00967792" w:rsidP="00B53355">
            <w:pPr>
              <w:spacing w:before="40" w:after="40"/>
              <w:rPr>
                <w:sz w:val="22"/>
                <w:lang w:val="es-ES"/>
              </w:rPr>
            </w:pPr>
            <w:r w:rsidRPr="00397F41">
              <w:rPr>
                <w:sz w:val="22"/>
                <w:lang w:val="es-ES"/>
              </w:rPr>
              <w:t>9.1</w:t>
            </w:r>
            <w:r w:rsidRPr="00397F41">
              <w:rPr>
                <w:sz w:val="22"/>
                <w:lang w:val="es-ES"/>
              </w:rPr>
              <w:tab/>
              <w:t xml:space="preserve">El </w:t>
            </w:r>
            <w:r w:rsidRPr="00397F41">
              <w:rPr>
                <w:b/>
                <w:bCs/>
                <w:sz w:val="22"/>
                <w:lang w:val="es-ES"/>
              </w:rPr>
              <w:t>delegado de la República Islámica del Irán</w:t>
            </w:r>
            <w:r w:rsidRPr="00397F41">
              <w:rPr>
                <w:sz w:val="22"/>
                <w:lang w:val="es-ES"/>
              </w:rPr>
              <w:t xml:space="preserve"> pregunta si la ampliación del periodo de suspensión de satélites de dos a tres años, que se ha incorporado a los Apéndices </w:t>
            </w:r>
            <w:r w:rsidRPr="00397F41">
              <w:rPr>
                <w:b/>
                <w:bCs/>
                <w:sz w:val="22"/>
                <w:lang w:val="es-ES"/>
              </w:rPr>
              <w:t>30</w:t>
            </w:r>
            <w:r w:rsidRPr="00397F41">
              <w:rPr>
                <w:sz w:val="22"/>
                <w:lang w:val="es-ES"/>
              </w:rPr>
              <w:t xml:space="preserve"> y 3</w:t>
            </w:r>
            <w:r w:rsidRPr="00397F41">
              <w:rPr>
                <w:b/>
                <w:bCs/>
                <w:sz w:val="22"/>
                <w:lang w:val="es-ES"/>
              </w:rPr>
              <w:t>0A</w:t>
            </w:r>
            <w:r w:rsidRPr="00397F41">
              <w:rPr>
                <w:sz w:val="22"/>
                <w:lang w:val="es-ES"/>
              </w:rPr>
              <w:t>, se aplicaría también a las asignaciones relativas al Apéndice </w:t>
            </w:r>
            <w:r w:rsidRPr="00397F41">
              <w:rPr>
                <w:b/>
                <w:bCs/>
                <w:sz w:val="22"/>
                <w:lang w:val="es-ES"/>
              </w:rPr>
              <w:t>30B</w:t>
            </w:r>
            <w:r w:rsidRPr="00397F41">
              <w:rPr>
                <w:sz w:val="22"/>
                <w:lang w:val="es-ES"/>
              </w:rPr>
              <w:t>, armonizando de esta forma las prácticas respecto a las bandas no planificadas. Observa que el orden del día de la presente Conferencia no cubre el Apéndice </w:t>
            </w:r>
            <w:r w:rsidRPr="00397F41">
              <w:rPr>
                <w:b/>
                <w:bCs/>
                <w:sz w:val="22"/>
                <w:lang w:val="es-ES"/>
              </w:rPr>
              <w:t>30B</w:t>
            </w:r>
            <w:r w:rsidRPr="00397F41">
              <w:rPr>
                <w:sz w:val="22"/>
                <w:lang w:val="es-ES"/>
              </w:rPr>
              <w:t>.</w:t>
            </w:r>
          </w:p>
          <w:p w14:paraId="12703CFE" w14:textId="77777777" w:rsidR="00967792" w:rsidRPr="00397F41" w:rsidRDefault="00967792" w:rsidP="00B53355">
            <w:pPr>
              <w:spacing w:before="40" w:after="40"/>
              <w:rPr>
                <w:sz w:val="22"/>
                <w:lang w:val="es-ES"/>
              </w:rPr>
            </w:pPr>
            <w:r w:rsidRPr="00397F41">
              <w:rPr>
                <w:sz w:val="22"/>
                <w:lang w:val="es-ES"/>
              </w:rPr>
              <w:t>9.2</w:t>
            </w:r>
            <w:r w:rsidRPr="00397F41">
              <w:rPr>
                <w:sz w:val="22"/>
                <w:lang w:val="es-ES"/>
              </w:rPr>
              <w:tab/>
              <w:t xml:space="preserve">El </w:t>
            </w:r>
            <w:r w:rsidRPr="00397F41">
              <w:rPr>
                <w:b/>
                <w:bCs/>
                <w:sz w:val="22"/>
                <w:lang w:val="es-ES"/>
              </w:rPr>
              <w:t>representante de la BR</w:t>
            </w:r>
            <w:r w:rsidRPr="00397F41">
              <w:rPr>
                <w:sz w:val="22"/>
                <w:lang w:val="es-ES"/>
              </w:rPr>
              <w:t xml:space="preserve"> dice que la Oficina considera que la intención de la Conferencia es extender el periodo de suspensión también al Apéndice </w:t>
            </w:r>
            <w:r w:rsidRPr="00397F41">
              <w:rPr>
                <w:b/>
                <w:bCs/>
                <w:sz w:val="22"/>
                <w:lang w:val="es-ES"/>
              </w:rPr>
              <w:t>30B</w:t>
            </w:r>
            <w:r w:rsidRPr="00397F41">
              <w:rPr>
                <w:sz w:val="22"/>
                <w:lang w:val="es-ES"/>
              </w:rPr>
              <w:t>. Si la presente Conferencia decide confirmar este extremo, la Oficina redactaría unas Reglas de Procedimiento al efecto para su aprobación por la RRB y se prepararían las correspondientes modificaciones del RR para su aprobación en la próxima conferencia.</w:t>
            </w:r>
          </w:p>
          <w:p w14:paraId="76E0A7A6" w14:textId="77777777" w:rsidR="00967792" w:rsidRPr="00397F41" w:rsidRDefault="00967792" w:rsidP="00B53355">
            <w:pPr>
              <w:spacing w:before="40" w:after="40"/>
              <w:rPr>
                <w:sz w:val="22"/>
                <w:lang w:val="es-ES"/>
              </w:rPr>
            </w:pPr>
            <w:r w:rsidRPr="00397F41">
              <w:rPr>
                <w:sz w:val="22"/>
                <w:lang w:val="es-ES"/>
              </w:rPr>
              <w:t>9.3</w:t>
            </w:r>
            <w:r w:rsidRPr="00397F41">
              <w:rPr>
                <w:sz w:val="22"/>
                <w:lang w:val="es-ES"/>
              </w:rPr>
              <w:tab/>
              <w:t>El</w:t>
            </w:r>
            <w:r w:rsidRPr="00397F41">
              <w:rPr>
                <w:b/>
                <w:bCs/>
                <w:sz w:val="22"/>
                <w:lang w:val="es-ES"/>
              </w:rPr>
              <w:t xml:space="preserve"> Presidente</w:t>
            </w:r>
            <w:r w:rsidRPr="00397F41">
              <w:rPr>
                <w:sz w:val="22"/>
                <w:lang w:val="es-ES"/>
              </w:rPr>
              <w:t xml:space="preserve"> considera que la Conferencia puede aprobar la aplicación en el Apéndice </w:t>
            </w:r>
            <w:r w:rsidRPr="00397F41">
              <w:rPr>
                <w:b/>
                <w:bCs/>
                <w:sz w:val="22"/>
                <w:lang w:val="es-ES"/>
              </w:rPr>
              <w:t>30B</w:t>
            </w:r>
            <w:r w:rsidRPr="00397F41">
              <w:rPr>
                <w:sz w:val="22"/>
                <w:lang w:val="es-ES"/>
              </w:rPr>
              <w:t xml:space="preserve"> de la extensión del periodo de suspensión de dos a tres años, así como el método propuesto por la Oficina para aplicar esa extensión del periodo a través de Reglas de Procedimiento.</w:t>
            </w:r>
          </w:p>
          <w:p w14:paraId="238C812B" w14:textId="77777777" w:rsidR="00967792" w:rsidRPr="00397F41" w:rsidRDefault="00967792" w:rsidP="00B53355">
            <w:pPr>
              <w:spacing w:before="40" w:after="40"/>
              <w:rPr>
                <w:sz w:val="22"/>
                <w:lang w:val="es-ES"/>
              </w:rPr>
            </w:pPr>
            <w:r w:rsidRPr="00397F41">
              <w:rPr>
                <w:sz w:val="22"/>
                <w:lang w:val="es-ES"/>
              </w:rPr>
              <w:t>9.4</w:t>
            </w:r>
            <w:r w:rsidRPr="00397F41">
              <w:rPr>
                <w:sz w:val="22"/>
                <w:lang w:val="es-ES"/>
              </w:rPr>
              <w:tab/>
              <w:t xml:space="preserve">Así se </w:t>
            </w:r>
            <w:r w:rsidRPr="00397F41">
              <w:rPr>
                <w:b/>
                <w:bCs/>
                <w:sz w:val="22"/>
                <w:lang w:val="es-ES"/>
              </w:rPr>
              <w:t>acuerda</w:t>
            </w:r>
            <w:r w:rsidRPr="00397F41">
              <w:rPr>
                <w:sz w:val="22"/>
                <w:lang w:val="es-ES"/>
              </w:rPr>
              <w:t>.</w:t>
            </w:r>
          </w:p>
        </w:tc>
        <w:tc>
          <w:tcPr>
            <w:tcW w:w="1548" w:type="pct"/>
          </w:tcPr>
          <w:p w14:paraId="3038DAE8" w14:textId="3514E398" w:rsidR="00967792" w:rsidRPr="00D2027A" w:rsidRDefault="00967792" w:rsidP="00B53355">
            <w:pPr>
              <w:pStyle w:val="Tabletext"/>
              <w:rPr>
                <w:rFonts w:asciiTheme="majorBidi" w:hAnsiTheme="majorBidi" w:cstheme="majorBidi"/>
                <w:szCs w:val="24"/>
                <w:lang w:val="es-ES"/>
              </w:rPr>
            </w:pPr>
            <w:r w:rsidRPr="00D2027A">
              <w:rPr>
                <w:rFonts w:asciiTheme="majorBidi" w:hAnsiTheme="majorBidi" w:cstheme="majorBidi"/>
                <w:szCs w:val="24"/>
                <w:lang w:val="es-ES"/>
              </w:rPr>
              <w:t xml:space="preserve">La RRB aprobó la correspondiente Regla de </w:t>
            </w:r>
            <w:r w:rsidRPr="00266695">
              <w:rPr>
                <w:lang w:val="es-ES"/>
              </w:rPr>
              <w:t>Procedimiento</w:t>
            </w:r>
            <w:r w:rsidRPr="00D2027A">
              <w:rPr>
                <w:rFonts w:asciiTheme="majorBidi" w:hAnsiTheme="majorBidi" w:cstheme="majorBidi"/>
                <w:szCs w:val="24"/>
                <w:lang w:val="es-ES"/>
              </w:rPr>
              <w:t xml:space="preserve"> relativa al número 8.17 del Apéndice </w:t>
            </w:r>
            <w:r w:rsidRPr="00D2027A">
              <w:rPr>
                <w:rFonts w:asciiTheme="majorBidi" w:hAnsiTheme="majorBidi" w:cstheme="majorBidi"/>
                <w:b/>
                <w:bCs/>
                <w:szCs w:val="24"/>
                <w:lang w:val="es-ES"/>
              </w:rPr>
              <w:t>30B</w:t>
            </w:r>
            <w:r w:rsidRPr="00D2027A">
              <w:rPr>
                <w:rFonts w:asciiTheme="majorBidi" w:hAnsiTheme="majorBidi" w:cstheme="majorBidi"/>
                <w:szCs w:val="24"/>
                <w:lang w:val="es-ES"/>
              </w:rPr>
              <w:t xml:space="preserve"> en su 60ª </w:t>
            </w:r>
            <w:r w:rsidR="00D156CD">
              <w:rPr>
                <w:rFonts w:asciiTheme="majorBidi" w:hAnsiTheme="majorBidi" w:cstheme="majorBidi"/>
                <w:szCs w:val="24"/>
                <w:lang w:val="es-ES"/>
              </w:rPr>
              <w:t>r</w:t>
            </w:r>
            <w:r w:rsidRPr="00D2027A">
              <w:rPr>
                <w:rFonts w:asciiTheme="majorBidi" w:hAnsiTheme="majorBidi" w:cstheme="majorBidi"/>
                <w:szCs w:val="24"/>
                <w:lang w:val="es-ES"/>
              </w:rPr>
              <w:t>eunión (</w:t>
            </w:r>
            <w:hyperlink r:id="rId125" w:history="1">
              <w:r w:rsidRPr="00D2027A">
                <w:rPr>
                  <w:rStyle w:val="Hyperlink"/>
                  <w:rFonts w:asciiTheme="majorBidi" w:hAnsiTheme="majorBidi" w:cstheme="majorBidi"/>
                  <w:szCs w:val="24"/>
                  <w:lang w:val="es-ES"/>
                </w:rPr>
                <w:t>CR/339</w:t>
              </w:r>
            </w:hyperlink>
            <w:r w:rsidRPr="00D2027A">
              <w:rPr>
                <w:rFonts w:asciiTheme="majorBidi" w:hAnsiTheme="majorBidi" w:cstheme="majorBidi"/>
                <w:szCs w:val="24"/>
                <w:lang w:val="es-ES"/>
              </w:rPr>
              <w:t>)</w:t>
            </w:r>
            <w:r w:rsidR="00D156CD">
              <w:rPr>
                <w:rFonts w:asciiTheme="majorBidi" w:hAnsiTheme="majorBidi" w:cstheme="majorBidi"/>
                <w:szCs w:val="24"/>
                <w:lang w:val="es-ES"/>
              </w:rPr>
              <w:t>.</w:t>
            </w:r>
          </w:p>
        </w:tc>
      </w:tr>
      <w:tr w:rsidR="00967792" w:rsidRPr="00D2027A" w14:paraId="7E6A6449" w14:textId="77777777" w:rsidTr="00924C8B">
        <w:trPr>
          <w:jc w:val="center"/>
        </w:trPr>
        <w:tc>
          <w:tcPr>
            <w:tcW w:w="183" w:type="pct"/>
          </w:tcPr>
          <w:p w14:paraId="040BB91E" w14:textId="77777777" w:rsidR="00967792" w:rsidRPr="00A616CA" w:rsidRDefault="00967792" w:rsidP="00563650">
            <w:pPr>
              <w:pStyle w:val="Tabletext"/>
              <w:keepNext/>
              <w:keepLines/>
              <w:rPr>
                <w:lang w:val="es-ES"/>
              </w:rPr>
            </w:pPr>
            <w:r w:rsidRPr="00A616CA">
              <w:rPr>
                <w:lang w:val="es-ES"/>
              </w:rPr>
              <w:lastRenderedPageBreak/>
              <w:t>34</w:t>
            </w:r>
          </w:p>
        </w:tc>
        <w:tc>
          <w:tcPr>
            <w:tcW w:w="434" w:type="pct"/>
          </w:tcPr>
          <w:p w14:paraId="50C95AA3" w14:textId="77777777" w:rsidR="00967792" w:rsidRPr="00A616CA" w:rsidRDefault="00967792" w:rsidP="00563650">
            <w:pPr>
              <w:pStyle w:val="Tabletext"/>
              <w:keepNext/>
              <w:keepLines/>
              <w:rPr>
                <w:lang w:val="es-ES"/>
              </w:rPr>
            </w:pPr>
            <w:r w:rsidRPr="00A616CA">
              <w:rPr>
                <w:lang w:val="es-ES"/>
              </w:rPr>
              <w:t>CMR-12</w:t>
            </w:r>
          </w:p>
        </w:tc>
        <w:tc>
          <w:tcPr>
            <w:tcW w:w="523" w:type="pct"/>
          </w:tcPr>
          <w:p w14:paraId="3B2645D6" w14:textId="322A7868" w:rsidR="00967792" w:rsidRPr="00D2027A" w:rsidRDefault="00967792" w:rsidP="00563650">
            <w:pPr>
              <w:pStyle w:val="Tabletext"/>
              <w:keepNext/>
              <w:keepLines/>
              <w:rPr>
                <w:rFonts w:asciiTheme="majorBidi" w:hAnsiTheme="majorBidi" w:cstheme="majorBidi"/>
                <w:szCs w:val="24"/>
                <w:lang w:val="es-ES"/>
              </w:rPr>
            </w:pPr>
            <w:r w:rsidRPr="00D2027A">
              <w:rPr>
                <w:rFonts w:asciiTheme="majorBidi" w:hAnsiTheme="majorBidi" w:cstheme="majorBidi"/>
                <w:szCs w:val="24"/>
                <w:lang w:val="es-ES"/>
              </w:rPr>
              <w:t>13ª Plenaria</w:t>
            </w:r>
            <w:r w:rsidR="00397F41">
              <w:rPr>
                <w:rFonts w:asciiTheme="majorBidi" w:hAnsiTheme="majorBidi" w:cstheme="majorBidi"/>
                <w:szCs w:val="24"/>
                <w:lang w:val="es-ES"/>
              </w:rPr>
              <w:br/>
            </w:r>
            <w:hyperlink r:id="rId126" w:history="1">
              <w:r w:rsidRPr="00D2027A">
                <w:rPr>
                  <w:rStyle w:val="Hyperlink"/>
                  <w:rFonts w:asciiTheme="majorBidi" w:hAnsiTheme="majorBidi" w:cstheme="majorBidi"/>
                  <w:szCs w:val="24"/>
                  <w:lang w:val="es-ES"/>
                </w:rPr>
                <w:t>Doc. 554</w:t>
              </w:r>
            </w:hyperlink>
          </w:p>
        </w:tc>
        <w:tc>
          <w:tcPr>
            <w:tcW w:w="2312" w:type="pct"/>
          </w:tcPr>
          <w:p w14:paraId="4651FE01" w14:textId="6512C558" w:rsidR="00967792" w:rsidRPr="00397F41" w:rsidRDefault="00967792" w:rsidP="00563650">
            <w:pPr>
              <w:keepNext/>
              <w:keepLines/>
              <w:spacing w:before="40" w:after="40"/>
              <w:rPr>
                <w:sz w:val="22"/>
                <w:lang w:val="es-ES"/>
              </w:rPr>
            </w:pPr>
            <w:r w:rsidRPr="00397F41">
              <w:rPr>
                <w:sz w:val="22"/>
                <w:lang w:val="es-ES"/>
              </w:rPr>
              <w:t>3.12</w:t>
            </w:r>
            <w:r w:rsidRPr="00397F41">
              <w:rPr>
                <w:sz w:val="22"/>
                <w:lang w:val="es-ES"/>
              </w:rPr>
              <w:tab/>
              <w:t xml:space="preserve">El </w:t>
            </w:r>
            <w:r w:rsidRPr="00397F41">
              <w:rPr>
                <w:b/>
                <w:bCs/>
                <w:sz w:val="22"/>
                <w:lang w:val="es-ES"/>
              </w:rPr>
              <w:t>Presidente</w:t>
            </w:r>
            <w:r w:rsidRPr="00397F41">
              <w:rPr>
                <w:sz w:val="22"/>
                <w:lang w:val="es-ES"/>
              </w:rPr>
              <w:t xml:space="preserve"> dice que la Comisión 5 ha sostenido amplios debates sobre la formulación de la última frase y que se llegó a un acuerdo. Por consiguiente, no se prevé volver a abrir el debate sobre el fondo de la cuestión. Así, asume que la Conferencia desea aprobar el siguiente texto enmendado para su inclusión en las Actas de la Plenaria como decisión de la conferencia en relación con los Documentos </w:t>
            </w:r>
            <w:hyperlink r:id="rId127" w:history="1">
              <w:r w:rsidRPr="00397F41">
                <w:rPr>
                  <w:rStyle w:val="Hyperlink"/>
                  <w:sz w:val="22"/>
                  <w:lang w:val="es-ES"/>
                </w:rPr>
                <w:t>138</w:t>
              </w:r>
            </w:hyperlink>
            <w:r w:rsidRPr="00397F41">
              <w:rPr>
                <w:sz w:val="22"/>
                <w:lang w:val="es-ES"/>
              </w:rPr>
              <w:t xml:space="preserve"> y </w:t>
            </w:r>
            <w:hyperlink r:id="rId128" w:history="1">
              <w:r w:rsidRPr="00397F41">
                <w:rPr>
                  <w:rStyle w:val="Hyperlink"/>
                  <w:sz w:val="22"/>
                  <w:lang w:val="es-ES"/>
                </w:rPr>
                <w:t>244</w:t>
              </w:r>
            </w:hyperlink>
            <w:r w:rsidRPr="00397F41">
              <w:rPr>
                <w:sz w:val="22"/>
                <w:lang w:val="es-ES"/>
              </w:rPr>
              <w:t>:</w:t>
            </w:r>
          </w:p>
          <w:p w14:paraId="528A4F58" w14:textId="603E4B3C" w:rsidR="00967792" w:rsidRPr="00397F41" w:rsidRDefault="00967792" w:rsidP="00563650">
            <w:pPr>
              <w:pStyle w:val="enumlev1"/>
              <w:keepNext/>
              <w:keepLines/>
              <w:spacing w:before="40" w:after="40"/>
              <w:rPr>
                <w:sz w:val="22"/>
                <w:lang w:val="es-ES"/>
              </w:rPr>
            </w:pPr>
            <w:r w:rsidRPr="00397F41">
              <w:rPr>
                <w:sz w:val="22"/>
                <w:lang w:val="es-ES"/>
              </w:rPr>
              <w:tab/>
              <w:t>«La CMR-12 reconoce que una administración puede poner en servicio, o continuar utilizando, asignaciones de frecuencia para una de sus redes de satélites utilizando una estación especial que está bajo la responsabilidad de otra administración y organización intergubernamental, siempre que ésta, tras haber sido informada, no se oponga en el plazo de 90 días a partir de la fecha de presentación de la información al uso de esta estación espacial a tal efecto. Este acuerdo no se aplicará con carácter retroactivo y se refiere a asignaciones puestas en servicio una vez finalizada la</w:t>
            </w:r>
            <w:r w:rsidR="00536113">
              <w:rPr>
                <w:sz w:val="22"/>
                <w:lang w:val="es-ES"/>
              </w:rPr>
              <w:t> </w:t>
            </w:r>
            <w:r w:rsidRPr="00397F41">
              <w:rPr>
                <w:sz w:val="22"/>
                <w:lang w:val="es-ES"/>
              </w:rPr>
              <w:t>CMR</w:t>
            </w:r>
            <w:r w:rsidR="00536113">
              <w:rPr>
                <w:sz w:val="22"/>
                <w:lang w:val="es-ES"/>
              </w:rPr>
              <w:noBreakHyphen/>
            </w:r>
            <w:r w:rsidRPr="00397F41">
              <w:rPr>
                <w:sz w:val="22"/>
                <w:lang w:val="es-ES"/>
              </w:rPr>
              <w:t>12»</w:t>
            </w:r>
            <w:r w:rsidR="00563650" w:rsidRPr="00397F41">
              <w:rPr>
                <w:sz w:val="22"/>
                <w:lang w:val="es-ES"/>
              </w:rPr>
              <w:t>.</w:t>
            </w:r>
          </w:p>
          <w:p w14:paraId="1F12BAC9" w14:textId="77777777" w:rsidR="00967792" w:rsidRPr="00397F41" w:rsidRDefault="00967792" w:rsidP="00563650">
            <w:pPr>
              <w:keepNext/>
              <w:keepLines/>
              <w:spacing w:before="40" w:after="40"/>
              <w:outlineLvl w:val="0"/>
              <w:rPr>
                <w:sz w:val="22"/>
                <w:lang w:val="es-ES"/>
              </w:rPr>
            </w:pPr>
            <w:r w:rsidRPr="00397F41">
              <w:rPr>
                <w:sz w:val="22"/>
                <w:lang w:val="es-ES"/>
              </w:rPr>
              <w:t>3.13</w:t>
            </w:r>
            <w:r w:rsidRPr="00397F41">
              <w:rPr>
                <w:sz w:val="22"/>
                <w:lang w:val="es-ES"/>
              </w:rPr>
              <w:tab/>
              <w:t xml:space="preserve">Así se </w:t>
            </w:r>
            <w:r w:rsidRPr="00397F41">
              <w:rPr>
                <w:b/>
                <w:sz w:val="22"/>
                <w:lang w:val="es-ES"/>
              </w:rPr>
              <w:t>acuerda</w:t>
            </w:r>
            <w:r w:rsidRPr="00397F41">
              <w:rPr>
                <w:sz w:val="22"/>
                <w:lang w:val="es-ES"/>
              </w:rPr>
              <w:t>.</w:t>
            </w:r>
          </w:p>
        </w:tc>
        <w:tc>
          <w:tcPr>
            <w:tcW w:w="1548" w:type="pct"/>
          </w:tcPr>
          <w:p w14:paraId="7C3A1C4E" w14:textId="35515B3A" w:rsidR="00967792" w:rsidRPr="00266695" w:rsidRDefault="00967792" w:rsidP="00563650">
            <w:pPr>
              <w:pStyle w:val="Tabletext"/>
              <w:keepNext/>
              <w:keepLines/>
              <w:rPr>
                <w:lang w:val="es-ES"/>
              </w:rPr>
            </w:pPr>
            <w:r w:rsidRPr="00266695">
              <w:rPr>
                <w:lang w:val="es-ES"/>
              </w:rPr>
              <w:t xml:space="preserve">66ª </w:t>
            </w:r>
            <w:r w:rsidR="00D156CD">
              <w:rPr>
                <w:lang w:val="es-ES"/>
              </w:rPr>
              <w:t>r</w:t>
            </w:r>
            <w:r w:rsidRPr="00266695">
              <w:rPr>
                <w:lang w:val="es-ES"/>
              </w:rPr>
              <w:t>eunión de la RRB:</w:t>
            </w:r>
          </w:p>
          <w:p w14:paraId="5C5CE7B3" w14:textId="77777777" w:rsidR="00967792" w:rsidRPr="00266695" w:rsidRDefault="00967792" w:rsidP="00563650">
            <w:pPr>
              <w:pStyle w:val="Tabletext"/>
              <w:keepNext/>
              <w:keepLines/>
              <w:rPr>
                <w:lang w:val="es-ES"/>
              </w:rPr>
            </w:pPr>
            <w:r w:rsidRPr="00266695">
              <w:rPr>
                <w:lang w:val="es-ES"/>
              </w:rPr>
              <w:t>Las asignaciones de frecuencia de la red de satélites de la administración que presentó la apelación no se consideran puestas en servicio dado que otra administración responsable de la estación especial objetó que se utilizara esta estación espacial para la puesta en servicio.</w:t>
            </w:r>
          </w:p>
          <w:p w14:paraId="2545B62B" w14:textId="1E0342C3" w:rsidR="00967792" w:rsidRPr="00D2027A" w:rsidRDefault="00967792" w:rsidP="00563650">
            <w:pPr>
              <w:pStyle w:val="Tabletext"/>
              <w:keepNext/>
              <w:keepLines/>
              <w:rPr>
                <w:rFonts w:asciiTheme="majorBidi" w:hAnsiTheme="majorBidi" w:cstheme="majorBidi"/>
                <w:szCs w:val="24"/>
                <w:lang w:val="es-ES"/>
              </w:rPr>
            </w:pPr>
            <w:r w:rsidRPr="00266695">
              <w:rPr>
                <w:lang w:val="es-ES"/>
              </w:rPr>
              <w:t>Documentos</w:t>
            </w:r>
            <w:r w:rsidRPr="00D2027A">
              <w:rPr>
                <w:rFonts w:asciiTheme="majorBidi" w:hAnsiTheme="majorBidi" w:cstheme="majorBidi"/>
                <w:szCs w:val="24"/>
                <w:lang w:val="es-ES"/>
              </w:rPr>
              <w:t xml:space="preserve"> </w:t>
            </w:r>
            <w:hyperlink r:id="rId129" w:history="1">
              <w:r w:rsidRPr="00D2027A">
                <w:rPr>
                  <w:rStyle w:val="Hyperlink"/>
                  <w:rFonts w:asciiTheme="majorBidi" w:hAnsiTheme="majorBidi" w:cstheme="majorBidi"/>
                  <w:szCs w:val="24"/>
                  <w:lang w:val="es-ES"/>
                </w:rPr>
                <w:t>RRB14-1/3</w:t>
              </w:r>
            </w:hyperlink>
            <w:r w:rsidRPr="00D2027A">
              <w:rPr>
                <w:rFonts w:asciiTheme="majorBidi" w:hAnsiTheme="majorBidi" w:cstheme="majorBidi"/>
                <w:szCs w:val="24"/>
                <w:lang w:val="es-ES"/>
              </w:rPr>
              <w:t xml:space="preserve">, </w:t>
            </w:r>
            <w:hyperlink r:id="rId130" w:history="1">
              <w:r w:rsidRPr="00D2027A">
                <w:rPr>
                  <w:rStyle w:val="Hyperlink"/>
                  <w:rFonts w:asciiTheme="majorBidi" w:hAnsiTheme="majorBidi" w:cstheme="majorBidi"/>
                  <w:szCs w:val="24"/>
                  <w:lang w:val="es-ES"/>
                </w:rPr>
                <w:t>RRB14-2/4</w:t>
              </w:r>
            </w:hyperlink>
            <w:r w:rsidRPr="00D2027A">
              <w:rPr>
                <w:rFonts w:asciiTheme="majorBidi" w:hAnsiTheme="majorBidi" w:cstheme="majorBidi"/>
                <w:szCs w:val="24"/>
                <w:lang w:val="es-ES"/>
              </w:rPr>
              <w:t xml:space="preserve">, </w:t>
            </w:r>
            <w:hyperlink r:id="rId131" w:history="1">
              <w:r w:rsidRPr="00D2027A">
                <w:rPr>
                  <w:rStyle w:val="Hyperlink"/>
                  <w:rFonts w:asciiTheme="majorBidi" w:hAnsiTheme="majorBidi" w:cstheme="majorBidi"/>
                  <w:szCs w:val="24"/>
                  <w:lang w:val="es-ES"/>
                </w:rPr>
                <w:t>RRB14</w:t>
              </w:r>
              <w:r w:rsidR="00397F41">
                <w:rPr>
                  <w:rStyle w:val="Hyperlink"/>
                  <w:rFonts w:asciiTheme="majorBidi" w:hAnsiTheme="majorBidi" w:cstheme="majorBidi"/>
                  <w:szCs w:val="24"/>
                  <w:lang w:val="es-ES"/>
                </w:rPr>
                <w:noBreakHyphen/>
              </w:r>
              <w:r w:rsidRPr="00D2027A">
                <w:rPr>
                  <w:rStyle w:val="Hyperlink"/>
                  <w:rFonts w:asciiTheme="majorBidi" w:hAnsiTheme="majorBidi" w:cstheme="majorBidi"/>
                  <w:szCs w:val="24"/>
                  <w:lang w:val="es-ES"/>
                </w:rPr>
                <w:t>2/9</w:t>
              </w:r>
            </w:hyperlink>
            <w:r w:rsidRPr="00D2027A">
              <w:rPr>
                <w:rFonts w:asciiTheme="majorBidi" w:hAnsiTheme="majorBidi" w:cstheme="majorBidi"/>
                <w:szCs w:val="24"/>
                <w:lang w:val="es-ES"/>
              </w:rPr>
              <w:t xml:space="preserve">, </w:t>
            </w:r>
            <w:hyperlink r:id="rId132" w:history="1">
              <w:r w:rsidRPr="00D2027A">
                <w:rPr>
                  <w:rStyle w:val="Hyperlink"/>
                  <w:rFonts w:asciiTheme="majorBidi" w:hAnsiTheme="majorBidi" w:cstheme="majorBidi"/>
                  <w:szCs w:val="24"/>
                  <w:lang w:val="es-ES"/>
                </w:rPr>
                <w:t>RRB14-2/10</w:t>
              </w:r>
            </w:hyperlink>
            <w:r w:rsidRPr="00D2027A">
              <w:rPr>
                <w:rFonts w:asciiTheme="majorBidi" w:hAnsiTheme="majorBidi" w:cstheme="majorBidi"/>
                <w:szCs w:val="24"/>
                <w:lang w:val="es-ES"/>
              </w:rPr>
              <w:t xml:space="preserve">, </w:t>
            </w:r>
            <w:hyperlink r:id="rId133" w:history="1">
              <w:r w:rsidRPr="00D2027A">
                <w:rPr>
                  <w:rStyle w:val="Hyperlink"/>
                  <w:rFonts w:asciiTheme="majorBidi" w:hAnsiTheme="majorBidi" w:cstheme="majorBidi"/>
                  <w:szCs w:val="24"/>
                  <w:lang w:val="es-ES"/>
                </w:rPr>
                <w:t>RRB14-2/16</w:t>
              </w:r>
            </w:hyperlink>
          </w:p>
        </w:tc>
      </w:tr>
      <w:tr w:rsidR="00397F41" w:rsidRPr="00D2027A" w14:paraId="7E0752DC" w14:textId="77777777" w:rsidTr="00924C8B">
        <w:trPr>
          <w:jc w:val="center"/>
        </w:trPr>
        <w:tc>
          <w:tcPr>
            <w:tcW w:w="183" w:type="pct"/>
          </w:tcPr>
          <w:p w14:paraId="52964E76" w14:textId="77777777" w:rsidR="00397F41" w:rsidRPr="00A616CA" w:rsidRDefault="00397F41" w:rsidP="00B53355">
            <w:pPr>
              <w:pStyle w:val="Tabletext"/>
              <w:rPr>
                <w:lang w:val="es-ES"/>
              </w:rPr>
            </w:pPr>
            <w:r w:rsidRPr="00A616CA">
              <w:rPr>
                <w:lang w:val="es-ES"/>
              </w:rPr>
              <w:t>35</w:t>
            </w:r>
          </w:p>
        </w:tc>
        <w:tc>
          <w:tcPr>
            <w:tcW w:w="434" w:type="pct"/>
          </w:tcPr>
          <w:p w14:paraId="6B4CEE24" w14:textId="5C5DFDEA" w:rsidR="00397F41" w:rsidRPr="00A616CA" w:rsidRDefault="00397F41" w:rsidP="00B53355">
            <w:pPr>
              <w:pStyle w:val="Tabletext"/>
              <w:rPr>
                <w:lang w:val="es-ES"/>
              </w:rPr>
            </w:pPr>
            <w:r w:rsidRPr="00A616CA">
              <w:rPr>
                <w:lang w:val="es-ES"/>
              </w:rPr>
              <w:t>CMR-12</w:t>
            </w:r>
          </w:p>
        </w:tc>
        <w:tc>
          <w:tcPr>
            <w:tcW w:w="523" w:type="pct"/>
          </w:tcPr>
          <w:p w14:paraId="444F3F77" w14:textId="4D8492DB" w:rsidR="00397F41" w:rsidRPr="00D2027A" w:rsidRDefault="00397F41" w:rsidP="00B53355">
            <w:pPr>
              <w:pStyle w:val="Tabletext"/>
              <w:rPr>
                <w:rFonts w:asciiTheme="majorBidi" w:hAnsiTheme="majorBidi" w:cstheme="majorBidi"/>
                <w:szCs w:val="24"/>
                <w:lang w:val="es-ES"/>
              </w:rPr>
            </w:pPr>
            <w:r w:rsidRPr="00D2027A">
              <w:rPr>
                <w:rFonts w:asciiTheme="majorBidi" w:hAnsiTheme="majorBidi" w:cstheme="majorBidi"/>
                <w:szCs w:val="24"/>
                <w:lang w:val="es-ES"/>
              </w:rPr>
              <w:t>13ª Plenaria</w:t>
            </w:r>
            <w:r>
              <w:rPr>
                <w:rFonts w:asciiTheme="majorBidi" w:hAnsiTheme="majorBidi" w:cstheme="majorBidi"/>
                <w:szCs w:val="24"/>
                <w:lang w:val="es-ES"/>
              </w:rPr>
              <w:br/>
            </w:r>
            <w:hyperlink r:id="rId134" w:history="1">
              <w:r w:rsidRPr="00D2027A">
                <w:rPr>
                  <w:rStyle w:val="Hyperlink"/>
                  <w:rFonts w:asciiTheme="majorBidi" w:hAnsiTheme="majorBidi" w:cstheme="majorBidi"/>
                  <w:szCs w:val="24"/>
                  <w:lang w:val="es-ES"/>
                </w:rPr>
                <w:t>Doc. 554</w:t>
              </w:r>
            </w:hyperlink>
          </w:p>
        </w:tc>
        <w:tc>
          <w:tcPr>
            <w:tcW w:w="2312" w:type="pct"/>
          </w:tcPr>
          <w:p w14:paraId="2F4286E8" w14:textId="0879A3EE" w:rsidR="00397F41" w:rsidRPr="00397F41" w:rsidRDefault="00397F41" w:rsidP="00B53355">
            <w:pPr>
              <w:spacing w:before="40" w:after="40"/>
              <w:rPr>
                <w:sz w:val="22"/>
                <w:lang w:val="es-ES"/>
              </w:rPr>
            </w:pPr>
            <w:r w:rsidRPr="00397F41">
              <w:rPr>
                <w:bCs/>
                <w:sz w:val="22"/>
                <w:lang w:val="es-ES"/>
              </w:rPr>
              <w:t>3.16</w:t>
            </w:r>
            <w:r w:rsidRPr="00397F41">
              <w:rPr>
                <w:bCs/>
                <w:sz w:val="22"/>
                <w:lang w:val="es-ES"/>
              </w:rPr>
              <w:tab/>
              <w:t>El</w:t>
            </w:r>
            <w:r w:rsidRPr="00397F41">
              <w:rPr>
                <w:sz w:val="22"/>
                <w:lang w:val="es-ES"/>
              </w:rPr>
              <w:t xml:space="preserve"> </w:t>
            </w:r>
            <w:r w:rsidRPr="00397F41">
              <w:rPr>
                <w:b/>
                <w:bCs/>
                <w:sz w:val="22"/>
                <w:lang w:val="es-ES"/>
              </w:rPr>
              <w:t>Presidente</w:t>
            </w:r>
            <w:r w:rsidRPr="00397F41">
              <w:rPr>
                <w:sz w:val="22"/>
                <w:lang w:val="es-ES"/>
              </w:rPr>
              <w:t xml:space="preserve"> dice que, en consecuencia, entiende que la Conferencia desea aprobar, para su inclusión en las Actas de la Plenaria, el siguiente texto enmendado como decisión de la Conferencia en relación con los </w:t>
            </w:r>
            <w:hyperlink r:id="rId135" w:history="1">
              <w:r w:rsidRPr="00397F41">
                <w:rPr>
                  <w:rStyle w:val="Hyperlink"/>
                  <w:sz w:val="22"/>
                  <w:lang w:val="es-ES"/>
                </w:rPr>
                <w:t>Addenda 1 a 28 del Documento 6</w:t>
              </w:r>
            </w:hyperlink>
            <w:r w:rsidRPr="00397F41">
              <w:rPr>
                <w:sz w:val="22"/>
                <w:lang w:val="es-ES"/>
              </w:rPr>
              <w:t>:</w:t>
            </w:r>
          </w:p>
          <w:p w14:paraId="263E4CF2" w14:textId="3D929B15" w:rsidR="00397F41" w:rsidRPr="00397F41" w:rsidRDefault="00397F41" w:rsidP="00B53355">
            <w:pPr>
              <w:spacing w:before="40" w:after="40"/>
              <w:ind w:left="794" w:hanging="794"/>
              <w:rPr>
                <w:sz w:val="22"/>
                <w:lang w:val="es-ES"/>
              </w:rPr>
            </w:pPr>
            <w:r w:rsidRPr="00397F41">
              <w:rPr>
                <w:sz w:val="22"/>
                <w:lang w:val="es-ES"/>
              </w:rPr>
              <w:tab/>
              <w:t xml:space="preserve">«Tras considerar los </w:t>
            </w:r>
            <w:hyperlink r:id="rId136" w:history="1">
              <w:r w:rsidRPr="00397F41">
                <w:rPr>
                  <w:rStyle w:val="Hyperlink"/>
                  <w:sz w:val="22"/>
                  <w:lang w:val="es-ES"/>
                </w:rPr>
                <w:t>Addenda 1 a 28 del Documento 6</w:t>
              </w:r>
            </w:hyperlink>
            <w:r w:rsidRPr="00397F41">
              <w:rPr>
                <w:sz w:val="22"/>
                <w:lang w:val="es-ES"/>
              </w:rPr>
              <w:t>, se ha señalado a la atención de la Conferencia que no existe ninguna documentación disponible de inmediato para las administraciones sobre los métodos aplicados y medidas adoptadas por la Oficina para consolidar las asignaciones de frecuencias de diferentes redes OSG, presentadas por una administración en la misma posición orbital, en asignaciones de frecuencias de una única red de satélites. Por consiguiente se encarga a:</w:t>
            </w:r>
          </w:p>
          <w:p w14:paraId="3F1AB183" w14:textId="77777777" w:rsidR="00397F41" w:rsidRPr="00397F41" w:rsidRDefault="00397F41" w:rsidP="00B53355">
            <w:pPr>
              <w:pStyle w:val="enumlev1"/>
              <w:spacing w:before="40" w:after="40"/>
              <w:ind w:left="1191" w:hanging="397"/>
              <w:rPr>
                <w:sz w:val="22"/>
                <w:lang w:val="es-ES"/>
              </w:rPr>
            </w:pPr>
            <w:r w:rsidRPr="00397F41">
              <w:rPr>
                <w:sz w:val="22"/>
                <w:lang w:val="es-ES"/>
              </w:rPr>
              <w:t>a)</w:t>
            </w:r>
            <w:r w:rsidRPr="00397F41">
              <w:rPr>
                <w:sz w:val="22"/>
                <w:lang w:val="es-ES"/>
              </w:rPr>
              <w:tab/>
              <w:t xml:space="preserve">la Oficina que elabore y presente a la Junta del Reglamento de Radiocomunicaciones la descripción </w:t>
            </w:r>
            <w:r w:rsidRPr="00397F41">
              <w:rPr>
                <w:sz w:val="22"/>
                <w:lang w:val="es-ES"/>
              </w:rPr>
              <w:lastRenderedPageBreak/>
              <w:t>detallada de los métodos aplicados y medidas adoptadas por la Oficina, en particular en lo que respecta a la consolidación de asignaciones de frecuencias de diferentes redes OSG, presentadas por una administración en la misma posición orbital, en asignaciones de frecuencias de una única red de satélites;</w:t>
            </w:r>
          </w:p>
          <w:p w14:paraId="7E18C102" w14:textId="19D4EB3B" w:rsidR="00397F41" w:rsidRPr="00397F41" w:rsidRDefault="00397F41" w:rsidP="00B53355">
            <w:pPr>
              <w:spacing w:before="40" w:after="40"/>
              <w:ind w:left="1191" w:hanging="397"/>
              <w:rPr>
                <w:sz w:val="22"/>
                <w:lang w:val="es-ES"/>
              </w:rPr>
            </w:pPr>
            <w:r w:rsidRPr="00397F41">
              <w:rPr>
                <w:sz w:val="22"/>
                <w:lang w:val="es-ES"/>
              </w:rPr>
              <w:t>b)</w:t>
            </w:r>
            <w:r w:rsidRPr="00397F41">
              <w:rPr>
                <w:sz w:val="22"/>
                <w:lang w:val="es-ES"/>
              </w:rPr>
              <w:tab/>
              <w:t>la Junta del Reglamento de Radiocomunicaciones que elabore las Reglas de Procedimiento pertinentes»</w:t>
            </w:r>
            <w:r w:rsidR="00563650" w:rsidRPr="00397F41">
              <w:rPr>
                <w:sz w:val="22"/>
                <w:lang w:val="es-ES"/>
              </w:rPr>
              <w:t>.</w:t>
            </w:r>
          </w:p>
          <w:p w14:paraId="16B16270" w14:textId="77777777" w:rsidR="00397F41" w:rsidRPr="00397F41" w:rsidRDefault="00397F41" w:rsidP="00B53355">
            <w:pPr>
              <w:spacing w:before="40" w:after="40"/>
              <w:rPr>
                <w:sz w:val="22"/>
                <w:lang w:val="es-ES"/>
              </w:rPr>
            </w:pPr>
            <w:r w:rsidRPr="00397F41">
              <w:rPr>
                <w:sz w:val="22"/>
                <w:lang w:val="es-ES"/>
              </w:rPr>
              <w:t>3.17</w:t>
            </w:r>
            <w:r w:rsidRPr="00397F41">
              <w:rPr>
                <w:sz w:val="22"/>
                <w:lang w:val="es-ES"/>
              </w:rPr>
              <w:tab/>
              <w:t xml:space="preserve">Así se </w:t>
            </w:r>
            <w:r w:rsidRPr="00397F41">
              <w:rPr>
                <w:b/>
                <w:sz w:val="22"/>
                <w:lang w:val="es-ES"/>
              </w:rPr>
              <w:t>acuerda</w:t>
            </w:r>
            <w:r w:rsidRPr="00397F41">
              <w:rPr>
                <w:sz w:val="22"/>
                <w:lang w:val="es-ES"/>
              </w:rPr>
              <w:t>.</w:t>
            </w:r>
          </w:p>
        </w:tc>
        <w:tc>
          <w:tcPr>
            <w:tcW w:w="1548" w:type="pct"/>
          </w:tcPr>
          <w:p w14:paraId="3D68F18C" w14:textId="76BC4F3F" w:rsidR="00397F41" w:rsidRPr="00D2027A" w:rsidRDefault="00397F41" w:rsidP="00B53355">
            <w:pPr>
              <w:pStyle w:val="Tabletext"/>
              <w:rPr>
                <w:rFonts w:asciiTheme="majorBidi" w:hAnsiTheme="majorBidi" w:cstheme="majorBidi"/>
                <w:szCs w:val="24"/>
                <w:lang w:val="es-ES"/>
              </w:rPr>
            </w:pPr>
            <w:r w:rsidRPr="00D2027A">
              <w:rPr>
                <w:rFonts w:asciiTheme="majorBidi" w:hAnsiTheme="majorBidi" w:cstheme="majorBidi"/>
                <w:szCs w:val="24"/>
                <w:lang w:val="es-ES"/>
              </w:rPr>
              <w:lastRenderedPageBreak/>
              <w:t xml:space="preserve">La </w:t>
            </w:r>
            <w:r w:rsidRPr="00266695">
              <w:rPr>
                <w:lang w:val="es-ES"/>
              </w:rPr>
              <w:t>RRB</w:t>
            </w:r>
            <w:r w:rsidRPr="00D2027A">
              <w:rPr>
                <w:rFonts w:asciiTheme="majorBidi" w:hAnsiTheme="majorBidi" w:cstheme="majorBidi"/>
                <w:szCs w:val="24"/>
                <w:lang w:val="es-ES"/>
              </w:rPr>
              <w:t xml:space="preserve"> aprobó la Regla de Procedimiento pertinente relativa al Artículo 11 en su 62ª </w:t>
            </w:r>
            <w:r w:rsidR="00D156CD">
              <w:rPr>
                <w:rFonts w:asciiTheme="majorBidi" w:hAnsiTheme="majorBidi" w:cstheme="majorBidi"/>
                <w:szCs w:val="24"/>
                <w:lang w:val="es-ES"/>
              </w:rPr>
              <w:t>r</w:t>
            </w:r>
            <w:r w:rsidRPr="00D2027A">
              <w:rPr>
                <w:rFonts w:asciiTheme="majorBidi" w:hAnsiTheme="majorBidi" w:cstheme="majorBidi"/>
                <w:szCs w:val="24"/>
                <w:lang w:val="es-ES"/>
              </w:rPr>
              <w:t>eunión (</w:t>
            </w:r>
            <w:hyperlink r:id="rId137" w:history="1">
              <w:r w:rsidRPr="00D2027A">
                <w:rPr>
                  <w:rStyle w:val="Hyperlink"/>
                  <w:rFonts w:asciiTheme="majorBidi" w:hAnsiTheme="majorBidi" w:cstheme="majorBidi"/>
                  <w:szCs w:val="24"/>
                  <w:lang w:val="es-ES"/>
                </w:rPr>
                <w:t>CR/346</w:t>
              </w:r>
            </w:hyperlink>
            <w:r w:rsidRPr="00D2027A">
              <w:rPr>
                <w:rFonts w:asciiTheme="majorBidi" w:hAnsiTheme="majorBidi" w:cstheme="majorBidi"/>
                <w:szCs w:val="24"/>
                <w:lang w:val="es-ES"/>
              </w:rPr>
              <w:t>)</w:t>
            </w:r>
            <w:r w:rsidR="00D156CD">
              <w:rPr>
                <w:rFonts w:asciiTheme="majorBidi" w:hAnsiTheme="majorBidi" w:cstheme="majorBidi"/>
                <w:szCs w:val="24"/>
                <w:lang w:val="es-ES"/>
              </w:rPr>
              <w:t>.</w:t>
            </w:r>
          </w:p>
        </w:tc>
      </w:tr>
      <w:tr w:rsidR="00397F41" w:rsidRPr="00D2027A" w14:paraId="10D4A1C7" w14:textId="77777777" w:rsidTr="00924C8B">
        <w:trPr>
          <w:jc w:val="center"/>
        </w:trPr>
        <w:tc>
          <w:tcPr>
            <w:tcW w:w="183" w:type="pct"/>
          </w:tcPr>
          <w:p w14:paraId="7A02BB4D" w14:textId="77777777" w:rsidR="00397F41" w:rsidRPr="00A616CA" w:rsidRDefault="00397F41" w:rsidP="00B53355">
            <w:pPr>
              <w:pStyle w:val="Tabletext"/>
              <w:rPr>
                <w:lang w:val="es-ES"/>
              </w:rPr>
            </w:pPr>
            <w:r w:rsidRPr="00A616CA">
              <w:rPr>
                <w:lang w:val="es-ES"/>
              </w:rPr>
              <w:t>36</w:t>
            </w:r>
          </w:p>
        </w:tc>
        <w:tc>
          <w:tcPr>
            <w:tcW w:w="434" w:type="pct"/>
          </w:tcPr>
          <w:p w14:paraId="55D88311" w14:textId="77777777" w:rsidR="00397F41" w:rsidRPr="00A616CA" w:rsidRDefault="00397F41" w:rsidP="00B53355">
            <w:pPr>
              <w:pStyle w:val="Tabletext"/>
              <w:rPr>
                <w:lang w:val="es-ES"/>
              </w:rPr>
            </w:pPr>
            <w:r w:rsidRPr="00A616CA">
              <w:rPr>
                <w:lang w:val="es-ES"/>
              </w:rPr>
              <w:t>CMR-12</w:t>
            </w:r>
          </w:p>
        </w:tc>
        <w:tc>
          <w:tcPr>
            <w:tcW w:w="523" w:type="pct"/>
          </w:tcPr>
          <w:p w14:paraId="342663A5" w14:textId="3588520C" w:rsidR="00397F41" w:rsidRPr="00D2027A" w:rsidRDefault="00397F41" w:rsidP="00B53355">
            <w:pPr>
              <w:pStyle w:val="Tabletext"/>
              <w:rPr>
                <w:rFonts w:asciiTheme="majorBidi" w:hAnsiTheme="majorBidi" w:cstheme="majorBidi"/>
                <w:szCs w:val="24"/>
                <w:lang w:val="es-ES"/>
              </w:rPr>
            </w:pPr>
            <w:r w:rsidRPr="00D2027A">
              <w:rPr>
                <w:rFonts w:asciiTheme="majorBidi" w:hAnsiTheme="majorBidi" w:cstheme="majorBidi"/>
                <w:szCs w:val="24"/>
                <w:lang w:val="es-ES"/>
              </w:rPr>
              <w:t>13ª Plenaria</w:t>
            </w:r>
            <w:r>
              <w:rPr>
                <w:rFonts w:asciiTheme="majorBidi" w:hAnsiTheme="majorBidi" w:cstheme="majorBidi"/>
                <w:szCs w:val="24"/>
                <w:lang w:val="es-ES"/>
              </w:rPr>
              <w:br/>
            </w:r>
            <w:hyperlink r:id="rId138" w:history="1">
              <w:r w:rsidRPr="00D2027A">
                <w:rPr>
                  <w:rStyle w:val="Hyperlink"/>
                  <w:rFonts w:asciiTheme="majorBidi" w:hAnsiTheme="majorBidi" w:cstheme="majorBidi"/>
                  <w:szCs w:val="24"/>
                  <w:lang w:val="es-ES"/>
                </w:rPr>
                <w:t>Doc. 554</w:t>
              </w:r>
            </w:hyperlink>
          </w:p>
        </w:tc>
        <w:tc>
          <w:tcPr>
            <w:tcW w:w="2312" w:type="pct"/>
          </w:tcPr>
          <w:p w14:paraId="3FC98649" w14:textId="1FAEFB00" w:rsidR="00397F41" w:rsidRPr="00A743EE" w:rsidRDefault="00397F41" w:rsidP="00B53355">
            <w:pPr>
              <w:spacing w:before="40" w:after="40"/>
              <w:rPr>
                <w:sz w:val="22"/>
                <w:lang w:val="es-ES"/>
              </w:rPr>
            </w:pPr>
            <w:r w:rsidRPr="00A743EE">
              <w:rPr>
                <w:sz w:val="22"/>
                <w:lang w:val="es-ES"/>
              </w:rPr>
              <w:t>3.18</w:t>
            </w:r>
            <w:r w:rsidRPr="00A743EE">
              <w:rPr>
                <w:sz w:val="22"/>
                <w:lang w:val="es-ES"/>
              </w:rPr>
              <w:tab/>
              <w:t xml:space="preserve">El </w:t>
            </w:r>
            <w:r w:rsidRPr="00A743EE">
              <w:rPr>
                <w:b/>
                <w:bCs/>
                <w:sz w:val="22"/>
                <w:lang w:val="es-ES"/>
              </w:rPr>
              <w:t>Presidente</w:t>
            </w:r>
            <w:r w:rsidRPr="00A743EE">
              <w:rPr>
                <w:sz w:val="22"/>
                <w:lang w:val="es-ES"/>
              </w:rPr>
              <w:t xml:space="preserve"> dice que asimismo entiende que la Conferencia desea aprobar, para su inclusión en las Actas de la Plenaria, un tercer texto relativo a la modificación por la Conferencia del número </w:t>
            </w:r>
            <w:r w:rsidRPr="00563650">
              <w:rPr>
                <w:b/>
                <w:bCs/>
                <w:sz w:val="22"/>
                <w:lang w:val="es-ES"/>
              </w:rPr>
              <w:t>13.6</w:t>
            </w:r>
            <w:r w:rsidRPr="00A743EE">
              <w:rPr>
                <w:sz w:val="22"/>
                <w:lang w:val="es-ES"/>
              </w:rPr>
              <w:t xml:space="preserve">, también señalado en el </w:t>
            </w:r>
            <w:hyperlink r:id="rId139" w:history="1">
              <w:r w:rsidRPr="00A743EE">
                <w:rPr>
                  <w:rStyle w:val="Hyperlink"/>
                  <w:sz w:val="22"/>
                  <w:lang w:val="es-ES"/>
                </w:rPr>
                <w:t>Documento 524</w:t>
              </w:r>
            </w:hyperlink>
            <w:r w:rsidRPr="00A743EE">
              <w:rPr>
                <w:sz w:val="22"/>
                <w:lang w:val="es-ES"/>
              </w:rPr>
              <w:t>, y que reza:</w:t>
            </w:r>
          </w:p>
          <w:p w14:paraId="31317417" w14:textId="34D33B26" w:rsidR="00397F41" w:rsidRPr="00A743EE" w:rsidRDefault="00397F41" w:rsidP="00B53355">
            <w:pPr>
              <w:pStyle w:val="enumlev1"/>
              <w:spacing w:before="40" w:after="40"/>
              <w:rPr>
                <w:sz w:val="22"/>
                <w:lang w:val="es-ES"/>
              </w:rPr>
            </w:pPr>
            <w:r w:rsidRPr="00A743EE">
              <w:rPr>
                <w:sz w:val="22"/>
                <w:lang w:val="es-ES"/>
              </w:rPr>
              <w:tab/>
              <w:t xml:space="preserve">«Teniendo en cuenta el </w:t>
            </w:r>
            <w:hyperlink r:id="rId140" w:history="1">
              <w:r w:rsidRPr="00A743EE">
                <w:rPr>
                  <w:rStyle w:val="Hyperlink"/>
                  <w:sz w:val="22"/>
                  <w:lang w:val="es-ES"/>
                </w:rPr>
                <w:t>Documento 139</w:t>
              </w:r>
            </w:hyperlink>
            <w:r w:rsidRPr="00A743EE">
              <w:rPr>
                <w:sz w:val="22"/>
                <w:lang w:val="es-ES"/>
              </w:rPr>
              <w:t>, la CMR-12 reconoce que la Oficina, al aplicar el número </w:t>
            </w:r>
            <w:r w:rsidRPr="00563650">
              <w:rPr>
                <w:b/>
                <w:sz w:val="22"/>
                <w:lang w:val="es-ES"/>
              </w:rPr>
              <w:t>13.6</w:t>
            </w:r>
            <w:r w:rsidRPr="00A743EE">
              <w:rPr>
                <w:sz w:val="22"/>
                <w:lang w:val="es-ES"/>
              </w:rPr>
              <w:t>, pida a las administraciones que faciliten información acerca de las características y la utilización de las redes de satélites. En respuesta, las administraciones tienen que proporcionar a la BR información sobre la utilización real de las características notificadas de las redes de satélites comerciales.»</w:t>
            </w:r>
          </w:p>
          <w:p w14:paraId="513F5A77" w14:textId="77777777" w:rsidR="00397F41" w:rsidRPr="00A743EE" w:rsidRDefault="00397F41" w:rsidP="00B53355">
            <w:pPr>
              <w:spacing w:before="40" w:after="40"/>
              <w:rPr>
                <w:b/>
                <w:sz w:val="22"/>
                <w:lang w:val="es-ES"/>
              </w:rPr>
            </w:pPr>
            <w:r w:rsidRPr="00A743EE">
              <w:rPr>
                <w:sz w:val="22"/>
                <w:lang w:val="es-ES"/>
              </w:rPr>
              <w:t>3.19</w:t>
            </w:r>
            <w:r w:rsidRPr="00A743EE">
              <w:rPr>
                <w:sz w:val="22"/>
                <w:lang w:val="es-ES"/>
              </w:rPr>
              <w:tab/>
              <w:t xml:space="preserve">Así se </w:t>
            </w:r>
            <w:r w:rsidRPr="00A743EE">
              <w:rPr>
                <w:b/>
                <w:sz w:val="22"/>
                <w:lang w:val="es-ES"/>
              </w:rPr>
              <w:t>acuerda</w:t>
            </w:r>
            <w:r w:rsidRPr="00A743EE">
              <w:rPr>
                <w:sz w:val="22"/>
                <w:lang w:val="es-ES"/>
              </w:rPr>
              <w:t>.</w:t>
            </w:r>
          </w:p>
        </w:tc>
        <w:tc>
          <w:tcPr>
            <w:tcW w:w="1548" w:type="pct"/>
          </w:tcPr>
          <w:p w14:paraId="3A0299D7" w14:textId="7A168AC8" w:rsidR="00397F41" w:rsidRPr="00266695" w:rsidRDefault="00397F41" w:rsidP="00B53355">
            <w:pPr>
              <w:pStyle w:val="Tabletext"/>
              <w:rPr>
                <w:lang w:val="es-ES"/>
              </w:rPr>
            </w:pPr>
          </w:p>
        </w:tc>
      </w:tr>
      <w:tr w:rsidR="00A743EE" w:rsidRPr="00D2027A" w14:paraId="42BE4BE8" w14:textId="77777777" w:rsidTr="00924C8B">
        <w:trPr>
          <w:jc w:val="center"/>
        </w:trPr>
        <w:tc>
          <w:tcPr>
            <w:tcW w:w="183" w:type="pct"/>
          </w:tcPr>
          <w:p w14:paraId="484F0C82" w14:textId="77777777" w:rsidR="00A743EE" w:rsidRPr="00A616CA" w:rsidRDefault="00A743EE" w:rsidP="00B53355">
            <w:pPr>
              <w:pStyle w:val="Tabletext"/>
              <w:rPr>
                <w:lang w:val="es-ES"/>
              </w:rPr>
            </w:pPr>
            <w:r w:rsidRPr="00A616CA">
              <w:rPr>
                <w:lang w:val="es-ES"/>
              </w:rPr>
              <w:t>37</w:t>
            </w:r>
          </w:p>
        </w:tc>
        <w:tc>
          <w:tcPr>
            <w:tcW w:w="434" w:type="pct"/>
          </w:tcPr>
          <w:p w14:paraId="1B9FC06E" w14:textId="77777777" w:rsidR="00A743EE" w:rsidRPr="00A616CA" w:rsidRDefault="00A743EE" w:rsidP="00B53355">
            <w:pPr>
              <w:pStyle w:val="Tabletext"/>
              <w:rPr>
                <w:lang w:val="es-ES"/>
              </w:rPr>
            </w:pPr>
            <w:r w:rsidRPr="00A616CA">
              <w:rPr>
                <w:lang w:val="es-ES"/>
              </w:rPr>
              <w:t>CMR-12</w:t>
            </w:r>
          </w:p>
        </w:tc>
        <w:tc>
          <w:tcPr>
            <w:tcW w:w="523" w:type="pct"/>
          </w:tcPr>
          <w:p w14:paraId="2B01EBCF" w14:textId="7F398062" w:rsidR="00A743EE" w:rsidRPr="00D2027A" w:rsidRDefault="00A743EE" w:rsidP="00B53355">
            <w:pPr>
              <w:pStyle w:val="Tabletext"/>
              <w:rPr>
                <w:rFonts w:asciiTheme="majorBidi" w:hAnsiTheme="majorBidi" w:cstheme="majorBidi"/>
                <w:szCs w:val="24"/>
                <w:lang w:val="es-ES"/>
              </w:rPr>
            </w:pPr>
            <w:r w:rsidRPr="00D2027A">
              <w:rPr>
                <w:rFonts w:asciiTheme="majorBidi" w:hAnsiTheme="majorBidi" w:cstheme="majorBidi"/>
                <w:szCs w:val="24"/>
                <w:lang w:val="es-ES"/>
              </w:rPr>
              <w:t>13ª Plenaria</w:t>
            </w:r>
            <w:r>
              <w:rPr>
                <w:rFonts w:asciiTheme="majorBidi" w:hAnsiTheme="majorBidi" w:cstheme="majorBidi"/>
                <w:szCs w:val="24"/>
                <w:lang w:val="es-ES"/>
              </w:rPr>
              <w:br/>
            </w:r>
            <w:hyperlink r:id="rId141" w:history="1">
              <w:r w:rsidRPr="00D2027A">
                <w:rPr>
                  <w:rStyle w:val="Hyperlink"/>
                  <w:rFonts w:asciiTheme="majorBidi" w:hAnsiTheme="majorBidi" w:cstheme="majorBidi"/>
                  <w:szCs w:val="24"/>
                  <w:lang w:val="es-ES"/>
                </w:rPr>
                <w:t>Doc. 554</w:t>
              </w:r>
            </w:hyperlink>
          </w:p>
        </w:tc>
        <w:tc>
          <w:tcPr>
            <w:tcW w:w="2312" w:type="pct"/>
          </w:tcPr>
          <w:p w14:paraId="03C03281" w14:textId="77777777" w:rsidR="00A743EE" w:rsidRPr="00A743EE" w:rsidRDefault="00A743EE" w:rsidP="00B53355">
            <w:pPr>
              <w:spacing w:before="40" w:after="40"/>
              <w:rPr>
                <w:sz w:val="22"/>
                <w:lang w:val="es-ES"/>
              </w:rPr>
            </w:pPr>
            <w:r w:rsidRPr="00A743EE">
              <w:rPr>
                <w:sz w:val="22"/>
                <w:lang w:val="es-ES"/>
              </w:rPr>
              <w:t>3.21</w:t>
            </w:r>
            <w:r w:rsidRPr="00A743EE">
              <w:rPr>
                <w:sz w:val="22"/>
                <w:lang w:val="es-ES"/>
              </w:rPr>
              <w:tab/>
              <w:t xml:space="preserve">El </w:t>
            </w:r>
            <w:r w:rsidRPr="00A743EE">
              <w:rPr>
                <w:b/>
                <w:bCs/>
                <w:sz w:val="22"/>
                <w:lang w:val="es-ES"/>
              </w:rPr>
              <w:t>Presidente</w:t>
            </w:r>
            <w:r w:rsidRPr="00A743EE">
              <w:rPr>
                <w:sz w:val="22"/>
                <w:lang w:val="es-ES"/>
              </w:rPr>
              <w:t xml:space="preserve"> entiende que la Conferencia autoriza a la Junta del Reglamento de Radiocomunicaciones a ampliar por un año el plazo de puesta en servicio de las asignaciones de frecuencias de la red VINASAT-FSS-131E-III en caso de retraso del lanzamiento, como propone la Comisión 5.</w:t>
            </w:r>
          </w:p>
          <w:p w14:paraId="7F5E2B38" w14:textId="77777777" w:rsidR="00A743EE" w:rsidRPr="00A743EE" w:rsidRDefault="00A743EE" w:rsidP="00B53355">
            <w:pPr>
              <w:spacing w:before="40" w:after="40"/>
              <w:rPr>
                <w:sz w:val="22"/>
                <w:lang w:val="es-ES"/>
              </w:rPr>
            </w:pPr>
            <w:r w:rsidRPr="00A743EE">
              <w:rPr>
                <w:sz w:val="22"/>
                <w:lang w:val="es-ES"/>
              </w:rPr>
              <w:t>3.22</w:t>
            </w:r>
            <w:r w:rsidRPr="00A743EE">
              <w:rPr>
                <w:sz w:val="22"/>
                <w:lang w:val="es-ES"/>
              </w:rPr>
              <w:tab/>
              <w:t xml:space="preserve">Así se </w:t>
            </w:r>
            <w:r w:rsidRPr="00A743EE">
              <w:rPr>
                <w:b/>
                <w:bCs/>
                <w:sz w:val="22"/>
                <w:lang w:val="es-ES"/>
              </w:rPr>
              <w:t>acuerda</w:t>
            </w:r>
            <w:r w:rsidRPr="00A743EE">
              <w:rPr>
                <w:sz w:val="22"/>
                <w:lang w:val="es-ES"/>
              </w:rPr>
              <w:t>.</w:t>
            </w:r>
          </w:p>
        </w:tc>
        <w:tc>
          <w:tcPr>
            <w:tcW w:w="1548" w:type="pct"/>
          </w:tcPr>
          <w:p w14:paraId="37BC02A5" w14:textId="72F20BFA" w:rsidR="00A743EE" w:rsidRPr="00266695" w:rsidRDefault="00A743EE" w:rsidP="00B53355">
            <w:pPr>
              <w:pStyle w:val="Tabletext"/>
              <w:rPr>
                <w:lang w:val="es-ES"/>
              </w:rPr>
            </w:pPr>
          </w:p>
        </w:tc>
      </w:tr>
      <w:tr w:rsidR="00A743EE" w:rsidRPr="00D2027A" w14:paraId="4AA78A65" w14:textId="77777777" w:rsidTr="00924C8B">
        <w:trPr>
          <w:jc w:val="center"/>
        </w:trPr>
        <w:tc>
          <w:tcPr>
            <w:tcW w:w="183" w:type="pct"/>
          </w:tcPr>
          <w:p w14:paraId="1972E690" w14:textId="77777777" w:rsidR="00A743EE" w:rsidRPr="00A616CA" w:rsidRDefault="00A743EE" w:rsidP="00B53355">
            <w:pPr>
              <w:pStyle w:val="Tabletext"/>
              <w:rPr>
                <w:lang w:val="es-ES"/>
              </w:rPr>
            </w:pPr>
            <w:r w:rsidRPr="00A616CA">
              <w:rPr>
                <w:lang w:val="es-ES"/>
              </w:rPr>
              <w:t>38</w:t>
            </w:r>
          </w:p>
        </w:tc>
        <w:tc>
          <w:tcPr>
            <w:tcW w:w="434" w:type="pct"/>
          </w:tcPr>
          <w:p w14:paraId="6803EFA3" w14:textId="5CE0A887" w:rsidR="00A743EE" w:rsidRPr="00A616CA" w:rsidRDefault="00A743EE" w:rsidP="00B53355">
            <w:pPr>
              <w:pStyle w:val="Tabletext"/>
              <w:rPr>
                <w:lang w:val="es-ES"/>
              </w:rPr>
            </w:pPr>
            <w:r w:rsidRPr="00A616CA">
              <w:rPr>
                <w:lang w:val="es-ES"/>
              </w:rPr>
              <w:t>CMR-12</w:t>
            </w:r>
          </w:p>
        </w:tc>
        <w:tc>
          <w:tcPr>
            <w:tcW w:w="523" w:type="pct"/>
          </w:tcPr>
          <w:p w14:paraId="66483EC1" w14:textId="587F34DA" w:rsidR="00A743EE" w:rsidRPr="00D2027A" w:rsidRDefault="00A743EE" w:rsidP="00B53355">
            <w:pPr>
              <w:pStyle w:val="Tabletext"/>
              <w:rPr>
                <w:rFonts w:asciiTheme="majorBidi" w:hAnsiTheme="majorBidi" w:cstheme="majorBidi"/>
                <w:szCs w:val="24"/>
                <w:lang w:val="es-ES"/>
              </w:rPr>
            </w:pPr>
            <w:r w:rsidRPr="00A743EE">
              <w:rPr>
                <w:lang w:val="es-ES"/>
              </w:rPr>
              <w:t>13ª</w:t>
            </w:r>
            <w:r w:rsidRPr="00D2027A">
              <w:rPr>
                <w:rFonts w:asciiTheme="majorBidi" w:hAnsiTheme="majorBidi" w:cstheme="majorBidi"/>
                <w:szCs w:val="24"/>
                <w:lang w:val="es-ES"/>
              </w:rPr>
              <w:t xml:space="preserve"> Plenaria</w:t>
            </w:r>
            <w:r>
              <w:rPr>
                <w:rFonts w:asciiTheme="majorBidi" w:hAnsiTheme="majorBidi" w:cstheme="majorBidi"/>
                <w:szCs w:val="24"/>
                <w:lang w:val="es-ES"/>
              </w:rPr>
              <w:br/>
            </w:r>
            <w:hyperlink r:id="rId142" w:history="1">
              <w:r w:rsidRPr="00D2027A">
                <w:rPr>
                  <w:rStyle w:val="Hyperlink"/>
                  <w:rFonts w:asciiTheme="majorBidi" w:hAnsiTheme="majorBidi" w:cstheme="majorBidi"/>
                  <w:szCs w:val="24"/>
                  <w:lang w:val="es-ES"/>
                </w:rPr>
                <w:t>Doc. 554</w:t>
              </w:r>
            </w:hyperlink>
          </w:p>
        </w:tc>
        <w:tc>
          <w:tcPr>
            <w:tcW w:w="2312" w:type="pct"/>
          </w:tcPr>
          <w:p w14:paraId="7C9C4EA5" w14:textId="324463E1" w:rsidR="00A743EE" w:rsidRPr="00A743EE" w:rsidRDefault="00A743EE" w:rsidP="00B53355">
            <w:pPr>
              <w:spacing w:before="40" w:after="40"/>
              <w:rPr>
                <w:sz w:val="22"/>
                <w:lang w:val="es-ES"/>
              </w:rPr>
            </w:pPr>
            <w:r w:rsidRPr="00A743EE">
              <w:rPr>
                <w:sz w:val="22"/>
                <w:lang w:val="es-ES"/>
              </w:rPr>
              <w:t>3.24</w:t>
            </w:r>
            <w:r w:rsidRPr="00A743EE">
              <w:rPr>
                <w:sz w:val="22"/>
                <w:lang w:val="es-ES"/>
              </w:rPr>
              <w:tab/>
              <w:t xml:space="preserve">El </w:t>
            </w:r>
            <w:r w:rsidRPr="00A743EE">
              <w:rPr>
                <w:b/>
                <w:bCs/>
                <w:sz w:val="22"/>
                <w:lang w:val="es-ES"/>
              </w:rPr>
              <w:t>Presidente de la Comisión 5</w:t>
            </w:r>
            <w:r w:rsidRPr="00A743EE">
              <w:rPr>
                <w:sz w:val="22"/>
                <w:lang w:val="es-ES"/>
              </w:rPr>
              <w:t xml:space="preserve">, en referencia al segundo punto tratado en el </w:t>
            </w:r>
            <w:hyperlink r:id="rId143" w:history="1">
              <w:r w:rsidRPr="00A743EE">
                <w:rPr>
                  <w:rStyle w:val="Hyperlink"/>
                  <w:sz w:val="22"/>
                  <w:lang w:val="es-ES"/>
                </w:rPr>
                <w:t>Documento 525</w:t>
              </w:r>
            </w:hyperlink>
            <w:r w:rsidRPr="00A743EE">
              <w:rPr>
                <w:sz w:val="22"/>
                <w:lang w:val="es-ES"/>
              </w:rPr>
              <w:t xml:space="preserve">, acuerdos provisionales que figuran en los Apéndices </w:t>
            </w:r>
            <w:r w:rsidRPr="00A743EE">
              <w:rPr>
                <w:b/>
                <w:bCs/>
                <w:sz w:val="22"/>
                <w:lang w:val="es-ES"/>
              </w:rPr>
              <w:t>30</w:t>
            </w:r>
            <w:r w:rsidRPr="00A743EE">
              <w:rPr>
                <w:sz w:val="22"/>
                <w:lang w:val="es-ES"/>
              </w:rPr>
              <w:t xml:space="preserve">, </w:t>
            </w:r>
            <w:r w:rsidRPr="00A743EE">
              <w:rPr>
                <w:b/>
                <w:bCs/>
                <w:sz w:val="22"/>
                <w:lang w:val="es-ES"/>
              </w:rPr>
              <w:t>30A</w:t>
            </w:r>
            <w:r w:rsidRPr="00A743EE">
              <w:rPr>
                <w:sz w:val="22"/>
                <w:lang w:val="es-ES"/>
              </w:rPr>
              <w:t xml:space="preserve"> y </w:t>
            </w:r>
            <w:r w:rsidRPr="00A743EE">
              <w:rPr>
                <w:b/>
                <w:bCs/>
                <w:sz w:val="22"/>
                <w:lang w:val="es-ES"/>
              </w:rPr>
              <w:t>30B</w:t>
            </w:r>
            <w:r w:rsidRPr="00A743EE">
              <w:rPr>
                <w:sz w:val="22"/>
                <w:lang w:val="es-ES"/>
              </w:rPr>
              <w:t xml:space="preserve">, indica que la Comisión 5 consideró una propuesta para introducir un mecanismo reglamentario que permita a las administraciones que no tengan planes inmediatos de utilizar sus asignaciones y adjudicaciones previstas en los Apéndices </w:t>
            </w:r>
            <w:r w:rsidRPr="00A743EE">
              <w:rPr>
                <w:b/>
                <w:bCs/>
                <w:sz w:val="22"/>
                <w:lang w:val="es-ES"/>
              </w:rPr>
              <w:lastRenderedPageBreak/>
              <w:t>30</w:t>
            </w:r>
            <w:r w:rsidRPr="00A743EE">
              <w:rPr>
                <w:sz w:val="22"/>
                <w:lang w:val="es-ES"/>
              </w:rPr>
              <w:t xml:space="preserve">, </w:t>
            </w:r>
            <w:r w:rsidRPr="00A743EE">
              <w:rPr>
                <w:b/>
                <w:bCs/>
                <w:sz w:val="22"/>
                <w:lang w:val="es-ES"/>
              </w:rPr>
              <w:t>30A</w:t>
            </w:r>
            <w:r w:rsidRPr="00A743EE">
              <w:rPr>
                <w:sz w:val="22"/>
                <w:lang w:val="es-ES"/>
              </w:rPr>
              <w:t xml:space="preserve"> y </w:t>
            </w:r>
            <w:r w:rsidRPr="00A743EE">
              <w:rPr>
                <w:b/>
                <w:bCs/>
                <w:sz w:val="22"/>
                <w:lang w:val="es-ES"/>
              </w:rPr>
              <w:t>30B</w:t>
            </w:r>
            <w:r w:rsidRPr="00A743EE">
              <w:rPr>
                <w:sz w:val="22"/>
                <w:lang w:val="es-ES"/>
              </w:rPr>
              <w:t xml:space="preserve"> conceder sus acuerdos de forma temporal a las administraciones que deseen utilizar asignaciones de la Lista sin que se vean degradados de forma permanente sus márgenes de protección. La Comisión reconoció que se trata de un tema complejo que merece mayor estudio en el marco de la Comisión de Estudio del UIT-R competente.</w:t>
            </w:r>
          </w:p>
          <w:p w14:paraId="13821CA9" w14:textId="77777777" w:rsidR="00A743EE" w:rsidRPr="00A743EE" w:rsidRDefault="00A743EE" w:rsidP="00B53355">
            <w:pPr>
              <w:spacing w:before="40" w:after="40"/>
              <w:rPr>
                <w:sz w:val="22"/>
                <w:lang w:val="es-ES"/>
              </w:rPr>
            </w:pPr>
            <w:r w:rsidRPr="00A743EE">
              <w:rPr>
                <w:sz w:val="22"/>
                <w:lang w:val="es-ES"/>
              </w:rPr>
              <w:t>3.25</w:t>
            </w:r>
            <w:r w:rsidRPr="00A743EE">
              <w:rPr>
                <w:sz w:val="22"/>
                <w:lang w:val="es-ES"/>
              </w:rPr>
              <w:tab/>
              <w:t xml:space="preserve">El </w:t>
            </w:r>
            <w:r w:rsidRPr="00A743EE">
              <w:rPr>
                <w:b/>
                <w:bCs/>
                <w:sz w:val="22"/>
                <w:lang w:val="es-ES"/>
              </w:rPr>
              <w:t>Presidente</w:t>
            </w:r>
            <w:r w:rsidRPr="00A743EE">
              <w:rPr>
                <w:sz w:val="22"/>
                <w:lang w:val="es-ES"/>
              </w:rPr>
              <w:t xml:space="preserve"> entiende que la Conferencia invita a la Comisión de Estudio del UIT-R competente a proseguir con los estudios sobre este tema.</w:t>
            </w:r>
          </w:p>
          <w:p w14:paraId="019237AB" w14:textId="77777777" w:rsidR="00A743EE" w:rsidRPr="00A743EE" w:rsidRDefault="00A743EE" w:rsidP="00B53355">
            <w:pPr>
              <w:spacing w:before="40" w:after="40"/>
              <w:rPr>
                <w:sz w:val="22"/>
                <w:lang w:val="es-ES"/>
              </w:rPr>
            </w:pPr>
            <w:r w:rsidRPr="00A743EE">
              <w:rPr>
                <w:sz w:val="22"/>
                <w:lang w:val="es-ES"/>
              </w:rPr>
              <w:t>3.26</w:t>
            </w:r>
            <w:r w:rsidRPr="00A743EE">
              <w:rPr>
                <w:sz w:val="22"/>
                <w:lang w:val="es-ES"/>
              </w:rPr>
              <w:tab/>
              <w:t xml:space="preserve">Así se </w:t>
            </w:r>
            <w:r w:rsidRPr="00A743EE">
              <w:rPr>
                <w:b/>
                <w:bCs/>
                <w:sz w:val="22"/>
                <w:lang w:val="es-ES"/>
              </w:rPr>
              <w:t>acuerda</w:t>
            </w:r>
            <w:r w:rsidRPr="00A743EE">
              <w:rPr>
                <w:sz w:val="22"/>
                <w:lang w:val="es-ES"/>
              </w:rPr>
              <w:t>.</w:t>
            </w:r>
          </w:p>
        </w:tc>
        <w:tc>
          <w:tcPr>
            <w:tcW w:w="1548" w:type="pct"/>
          </w:tcPr>
          <w:p w14:paraId="622899F7" w14:textId="0C7A1EED" w:rsidR="00A743EE" w:rsidRPr="00266695" w:rsidDel="0009177B" w:rsidRDefault="00A743EE" w:rsidP="00B53355">
            <w:pPr>
              <w:pStyle w:val="Tabletext"/>
              <w:rPr>
                <w:lang w:val="es-ES"/>
              </w:rPr>
            </w:pPr>
          </w:p>
        </w:tc>
      </w:tr>
      <w:tr w:rsidR="00A743EE" w:rsidRPr="00D2027A" w14:paraId="529468D1" w14:textId="77777777" w:rsidTr="00924C8B">
        <w:trPr>
          <w:jc w:val="center"/>
        </w:trPr>
        <w:tc>
          <w:tcPr>
            <w:tcW w:w="183" w:type="pct"/>
          </w:tcPr>
          <w:p w14:paraId="18753397" w14:textId="77777777" w:rsidR="00A743EE" w:rsidRPr="00A616CA" w:rsidRDefault="00A743EE" w:rsidP="00B53355">
            <w:pPr>
              <w:pStyle w:val="Tabletext"/>
              <w:rPr>
                <w:lang w:val="es-ES"/>
              </w:rPr>
            </w:pPr>
            <w:r w:rsidRPr="00A616CA">
              <w:rPr>
                <w:lang w:val="es-ES"/>
              </w:rPr>
              <w:t>39</w:t>
            </w:r>
          </w:p>
        </w:tc>
        <w:tc>
          <w:tcPr>
            <w:tcW w:w="434" w:type="pct"/>
          </w:tcPr>
          <w:p w14:paraId="6348D4BC" w14:textId="47CD8C6D" w:rsidR="00A743EE" w:rsidRPr="00A616CA" w:rsidRDefault="00A743EE" w:rsidP="00B53355">
            <w:pPr>
              <w:pStyle w:val="Tabletext"/>
              <w:rPr>
                <w:lang w:val="es-ES"/>
              </w:rPr>
            </w:pPr>
            <w:r w:rsidRPr="00A616CA">
              <w:rPr>
                <w:lang w:val="es-ES"/>
              </w:rPr>
              <w:t>CMR-12</w:t>
            </w:r>
          </w:p>
        </w:tc>
        <w:tc>
          <w:tcPr>
            <w:tcW w:w="523" w:type="pct"/>
          </w:tcPr>
          <w:p w14:paraId="792D1D3B" w14:textId="1CFDFEF8" w:rsidR="00A743EE" w:rsidRPr="00D2027A" w:rsidRDefault="00A743EE" w:rsidP="00B53355">
            <w:pPr>
              <w:pStyle w:val="Tabletext"/>
              <w:rPr>
                <w:rFonts w:asciiTheme="majorBidi" w:hAnsiTheme="majorBidi" w:cstheme="majorBidi"/>
                <w:szCs w:val="24"/>
                <w:lang w:val="es-ES"/>
              </w:rPr>
            </w:pPr>
            <w:r w:rsidRPr="00A743EE">
              <w:rPr>
                <w:lang w:val="es-ES"/>
              </w:rPr>
              <w:t>13ª</w:t>
            </w:r>
            <w:r w:rsidRPr="00D2027A">
              <w:rPr>
                <w:rFonts w:asciiTheme="majorBidi" w:hAnsiTheme="majorBidi" w:cstheme="majorBidi"/>
                <w:szCs w:val="24"/>
                <w:lang w:val="es-ES"/>
              </w:rPr>
              <w:t xml:space="preserve"> Plenaria</w:t>
            </w:r>
            <w:r>
              <w:rPr>
                <w:rFonts w:asciiTheme="majorBidi" w:hAnsiTheme="majorBidi" w:cstheme="majorBidi"/>
                <w:szCs w:val="24"/>
                <w:lang w:val="es-ES"/>
              </w:rPr>
              <w:br/>
            </w:r>
            <w:hyperlink r:id="rId144" w:history="1">
              <w:r w:rsidRPr="00D2027A">
                <w:rPr>
                  <w:rStyle w:val="Hyperlink"/>
                  <w:rFonts w:asciiTheme="majorBidi" w:hAnsiTheme="majorBidi" w:cstheme="majorBidi"/>
                  <w:szCs w:val="24"/>
                  <w:lang w:val="es-ES"/>
                </w:rPr>
                <w:t>Doc. 554</w:t>
              </w:r>
            </w:hyperlink>
          </w:p>
        </w:tc>
        <w:tc>
          <w:tcPr>
            <w:tcW w:w="2312" w:type="pct"/>
          </w:tcPr>
          <w:p w14:paraId="52C75A7E" w14:textId="7902FFE7" w:rsidR="00A743EE" w:rsidRPr="00A743EE" w:rsidRDefault="00A743EE" w:rsidP="00B53355">
            <w:pPr>
              <w:spacing w:before="40" w:after="40"/>
              <w:rPr>
                <w:sz w:val="22"/>
                <w:lang w:val="es-ES"/>
              </w:rPr>
            </w:pPr>
            <w:r w:rsidRPr="00A743EE">
              <w:rPr>
                <w:sz w:val="22"/>
                <w:lang w:val="es-ES"/>
              </w:rPr>
              <w:t>3.27</w:t>
            </w:r>
            <w:r w:rsidRPr="00A743EE">
              <w:rPr>
                <w:sz w:val="22"/>
                <w:lang w:val="es-ES"/>
              </w:rPr>
              <w:tab/>
              <w:t xml:space="preserve">El </w:t>
            </w:r>
            <w:r w:rsidRPr="00A743EE">
              <w:rPr>
                <w:b/>
                <w:bCs/>
                <w:sz w:val="22"/>
                <w:lang w:val="es-ES"/>
              </w:rPr>
              <w:t>Presidente de la Comisión 5</w:t>
            </w:r>
            <w:r w:rsidRPr="00A743EE">
              <w:rPr>
                <w:sz w:val="22"/>
                <w:lang w:val="es-ES"/>
              </w:rPr>
              <w:t xml:space="preserve"> indica que el tercer tema tratado en el </w:t>
            </w:r>
            <w:hyperlink r:id="rId145" w:history="1">
              <w:r w:rsidRPr="00A743EE">
                <w:rPr>
                  <w:rStyle w:val="Hyperlink"/>
                  <w:sz w:val="22"/>
                  <w:lang w:val="es-ES"/>
                </w:rPr>
                <w:t>Documento 525</w:t>
              </w:r>
            </w:hyperlink>
            <w:r w:rsidRPr="00A743EE">
              <w:rPr>
                <w:sz w:val="22"/>
                <w:lang w:val="es-ES"/>
              </w:rPr>
              <w:t xml:space="preserve"> es la propuesta de modificación del Artículo </w:t>
            </w:r>
            <w:r w:rsidRPr="00A743EE">
              <w:rPr>
                <w:b/>
                <w:bCs/>
                <w:sz w:val="22"/>
                <w:lang w:val="es-ES"/>
              </w:rPr>
              <w:t>4</w:t>
            </w:r>
            <w:r w:rsidRPr="00A743EE">
              <w:rPr>
                <w:sz w:val="22"/>
                <w:lang w:val="es-ES"/>
              </w:rPr>
              <w:t xml:space="preserve"> de los Apéndices </w:t>
            </w:r>
            <w:r w:rsidRPr="00A743EE">
              <w:rPr>
                <w:b/>
                <w:bCs/>
                <w:sz w:val="22"/>
                <w:lang w:val="es-ES"/>
              </w:rPr>
              <w:t>30</w:t>
            </w:r>
            <w:r w:rsidRPr="00A743EE">
              <w:rPr>
                <w:sz w:val="22"/>
                <w:lang w:val="es-ES"/>
              </w:rPr>
              <w:t xml:space="preserve"> y </w:t>
            </w:r>
            <w:r w:rsidRPr="00A743EE">
              <w:rPr>
                <w:b/>
                <w:bCs/>
                <w:sz w:val="22"/>
                <w:lang w:val="es-ES"/>
              </w:rPr>
              <w:t>30A</w:t>
            </w:r>
            <w:r w:rsidRPr="00A743EE">
              <w:rPr>
                <w:sz w:val="22"/>
                <w:lang w:val="es-ES"/>
              </w:rPr>
              <w:t xml:space="preserve"> para que en virtud de este Artículo se requiera el acuerdo explícito de las administraciones, a diferencia del acuerdo implícito, que es la situación actual. Se ha reconocido que este tema es complejo y requiere más estudios en el marco de la Comisión de Estudio del UIT-R competente.</w:t>
            </w:r>
          </w:p>
          <w:p w14:paraId="44E76991" w14:textId="77777777" w:rsidR="00A743EE" w:rsidRPr="00A743EE" w:rsidRDefault="00A743EE" w:rsidP="00B53355">
            <w:pPr>
              <w:spacing w:before="40" w:after="40"/>
              <w:rPr>
                <w:sz w:val="22"/>
                <w:lang w:val="es-ES"/>
              </w:rPr>
            </w:pPr>
            <w:r w:rsidRPr="00A743EE">
              <w:rPr>
                <w:sz w:val="22"/>
                <w:lang w:val="es-ES"/>
              </w:rPr>
              <w:t>3.28</w:t>
            </w:r>
            <w:r w:rsidRPr="00A743EE">
              <w:rPr>
                <w:sz w:val="22"/>
                <w:lang w:val="es-ES"/>
              </w:rPr>
              <w:tab/>
              <w:t xml:space="preserve">El </w:t>
            </w:r>
            <w:r w:rsidRPr="00A743EE">
              <w:rPr>
                <w:b/>
                <w:bCs/>
                <w:sz w:val="22"/>
                <w:lang w:val="es-ES"/>
              </w:rPr>
              <w:t>Presidente</w:t>
            </w:r>
            <w:r w:rsidRPr="00A743EE">
              <w:rPr>
                <w:sz w:val="22"/>
                <w:lang w:val="es-ES"/>
              </w:rPr>
              <w:t xml:space="preserve"> entiende que la Conferencia invita a la Comisión de Estudio del UIT-R competente a estudiar más a fondo este tema.</w:t>
            </w:r>
          </w:p>
          <w:p w14:paraId="7CC9B8B0" w14:textId="77777777" w:rsidR="00A743EE" w:rsidRPr="00A743EE" w:rsidRDefault="00A743EE" w:rsidP="00B53355">
            <w:pPr>
              <w:spacing w:before="40" w:after="40"/>
              <w:rPr>
                <w:sz w:val="22"/>
                <w:lang w:val="es-ES"/>
              </w:rPr>
            </w:pPr>
            <w:r w:rsidRPr="00A743EE">
              <w:rPr>
                <w:sz w:val="22"/>
                <w:lang w:val="es-ES"/>
              </w:rPr>
              <w:t>3.29</w:t>
            </w:r>
            <w:r w:rsidRPr="00A743EE">
              <w:rPr>
                <w:sz w:val="22"/>
                <w:lang w:val="es-ES"/>
              </w:rPr>
              <w:tab/>
              <w:t xml:space="preserve">Así se </w:t>
            </w:r>
            <w:r w:rsidRPr="00A743EE">
              <w:rPr>
                <w:b/>
                <w:bCs/>
                <w:sz w:val="22"/>
                <w:lang w:val="es-ES"/>
              </w:rPr>
              <w:t>acuerda</w:t>
            </w:r>
            <w:r w:rsidRPr="00A743EE">
              <w:rPr>
                <w:sz w:val="22"/>
                <w:lang w:val="es-ES"/>
              </w:rPr>
              <w:t>.</w:t>
            </w:r>
          </w:p>
        </w:tc>
        <w:tc>
          <w:tcPr>
            <w:tcW w:w="1548" w:type="pct"/>
          </w:tcPr>
          <w:p w14:paraId="7EA31CCA" w14:textId="39430B26" w:rsidR="00A743EE" w:rsidRPr="00266695" w:rsidDel="0009177B" w:rsidRDefault="00A743EE" w:rsidP="00B53355">
            <w:pPr>
              <w:pStyle w:val="Tabletext"/>
              <w:rPr>
                <w:lang w:val="es-ES"/>
              </w:rPr>
            </w:pPr>
          </w:p>
        </w:tc>
      </w:tr>
      <w:tr w:rsidR="00A743EE" w:rsidRPr="00D2027A" w14:paraId="2BA72E98" w14:textId="77777777" w:rsidTr="00924C8B">
        <w:trPr>
          <w:jc w:val="center"/>
        </w:trPr>
        <w:tc>
          <w:tcPr>
            <w:tcW w:w="183" w:type="pct"/>
          </w:tcPr>
          <w:p w14:paraId="22860872" w14:textId="77777777" w:rsidR="00A743EE" w:rsidRPr="00A616CA" w:rsidRDefault="00A743EE" w:rsidP="00B53355">
            <w:pPr>
              <w:pStyle w:val="Tabletext"/>
              <w:rPr>
                <w:lang w:val="es-ES"/>
              </w:rPr>
            </w:pPr>
            <w:r w:rsidRPr="00A616CA">
              <w:rPr>
                <w:lang w:val="es-ES"/>
              </w:rPr>
              <w:t>40</w:t>
            </w:r>
          </w:p>
        </w:tc>
        <w:tc>
          <w:tcPr>
            <w:tcW w:w="434" w:type="pct"/>
          </w:tcPr>
          <w:p w14:paraId="0AFED42F" w14:textId="4630C7FF" w:rsidR="00A743EE" w:rsidRPr="00A616CA" w:rsidRDefault="00A743EE" w:rsidP="00B53355">
            <w:pPr>
              <w:pStyle w:val="Tabletext"/>
              <w:rPr>
                <w:lang w:val="es-ES"/>
              </w:rPr>
            </w:pPr>
            <w:r w:rsidRPr="00A616CA">
              <w:rPr>
                <w:lang w:val="es-ES"/>
              </w:rPr>
              <w:t>CMR-12</w:t>
            </w:r>
          </w:p>
        </w:tc>
        <w:tc>
          <w:tcPr>
            <w:tcW w:w="523" w:type="pct"/>
          </w:tcPr>
          <w:p w14:paraId="520E9664" w14:textId="119689A0" w:rsidR="00A743EE" w:rsidRPr="00D2027A" w:rsidRDefault="00A743EE" w:rsidP="00B53355">
            <w:pPr>
              <w:pStyle w:val="Tabletext"/>
              <w:rPr>
                <w:rFonts w:asciiTheme="majorBidi" w:hAnsiTheme="majorBidi" w:cstheme="majorBidi"/>
                <w:szCs w:val="24"/>
                <w:lang w:val="es-ES"/>
              </w:rPr>
            </w:pPr>
            <w:r w:rsidRPr="00A743EE">
              <w:rPr>
                <w:lang w:val="es-ES"/>
              </w:rPr>
              <w:t>13ª</w:t>
            </w:r>
            <w:r w:rsidRPr="00D2027A">
              <w:rPr>
                <w:rFonts w:asciiTheme="majorBidi" w:hAnsiTheme="majorBidi" w:cstheme="majorBidi"/>
                <w:szCs w:val="24"/>
                <w:lang w:val="es-ES"/>
              </w:rPr>
              <w:t xml:space="preserve"> Plenaria</w:t>
            </w:r>
            <w:r>
              <w:rPr>
                <w:rFonts w:asciiTheme="majorBidi" w:hAnsiTheme="majorBidi" w:cstheme="majorBidi"/>
                <w:szCs w:val="24"/>
                <w:lang w:val="es-ES"/>
              </w:rPr>
              <w:br/>
            </w:r>
            <w:hyperlink r:id="rId146" w:history="1">
              <w:r w:rsidRPr="00D2027A">
                <w:rPr>
                  <w:rStyle w:val="Hyperlink"/>
                  <w:rFonts w:asciiTheme="majorBidi" w:hAnsiTheme="majorBidi" w:cstheme="majorBidi"/>
                  <w:szCs w:val="24"/>
                  <w:lang w:val="es-ES"/>
                </w:rPr>
                <w:t>Doc. 554</w:t>
              </w:r>
            </w:hyperlink>
          </w:p>
        </w:tc>
        <w:tc>
          <w:tcPr>
            <w:tcW w:w="2312" w:type="pct"/>
          </w:tcPr>
          <w:p w14:paraId="14AC5F8F" w14:textId="77777777" w:rsidR="00A743EE" w:rsidRPr="00A743EE" w:rsidRDefault="00A743EE" w:rsidP="00B53355">
            <w:pPr>
              <w:spacing w:before="40" w:after="40"/>
              <w:rPr>
                <w:sz w:val="22"/>
                <w:lang w:val="es-ES"/>
              </w:rPr>
            </w:pPr>
            <w:r w:rsidRPr="00A743EE">
              <w:rPr>
                <w:sz w:val="22"/>
                <w:lang w:val="es-ES"/>
              </w:rPr>
              <w:t>3.31</w:t>
            </w:r>
            <w:r w:rsidRPr="00A743EE">
              <w:rPr>
                <w:sz w:val="22"/>
                <w:lang w:val="es-ES"/>
              </w:rPr>
              <w:tab/>
              <w:t xml:space="preserve">El </w:t>
            </w:r>
            <w:r w:rsidRPr="00A743EE">
              <w:rPr>
                <w:b/>
                <w:bCs/>
                <w:sz w:val="22"/>
                <w:lang w:val="es-ES"/>
              </w:rPr>
              <w:t>Presidente</w:t>
            </w:r>
            <w:r w:rsidRPr="00A743EE">
              <w:rPr>
                <w:sz w:val="22"/>
                <w:lang w:val="es-ES"/>
              </w:rPr>
              <w:t xml:space="preserve"> entiende que la Conferencia desea formular su decisión como sigue: </w:t>
            </w:r>
          </w:p>
          <w:p w14:paraId="33DAB3A3" w14:textId="0B5B3AAC" w:rsidR="00A743EE" w:rsidRPr="00A743EE" w:rsidRDefault="00A743EE" w:rsidP="00B53355">
            <w:pPr>
              <w:spacing w:before="40" w:after="40"/>
              <w:ind w:left="794"/>
              <w:rPr>
                <w:sz w:val="22"/>
                <w:lang w:val="es-ES"/>
              </w:rPr>
            </w:pPr>
            <w:r w:rsidRPr="00A743EE">
              <w:rPr>
                <w:sz w:val="22"/>
                <w:lang w:val="es-ES"/>
              </w:rPr>
              <w:t xml:space="preserve">«La Conferencia decide encargar a la Oficina y a la RRB que investiguen cuidadosamente el asunto a fin de buscar medios de resolver la situación, como proponer otra posición orbital a Iraq y tramitar su solicitud en la nueva posición orbital seleccionada con la máxima prioridad en la cadena de tramitación del Artículo </w:t>
            </w:r>
            <w:r w:rsidRPr="00A743EE">
              <w:rPr>
                <w:b/>
                <w:bCs/>
                <w:sz w:val="22"/>
                <w:lang w:val="es-ES"/>
              </w:rPr>
              <w:t>4</w:t>
            </w:r>
            <w:r w:rsidRPr="00A743EE">
              <w:rPr>
                <w:sz w:val="22"/>
                <w:lang w:val="es-ES"/>
              </w:rPr>
              <w:t xml:space="preserve"> de los Apéndices </w:t>
            </w:r>
            <w:r w:rsidRPr="00A743EE">
              <w:rPr>
                <w:b/>
                <w:bCs/>
                <w:sz w:val="22"/>
                <w:lang w:val="es-ES"/>
              </w:rPr>
              <w:t>30</w:t>
            </w:r>
            <w:r w:rsidRPr="00A743EE">
              <w:rPr>
                <w:sz w:val="22"/>
                <w:lang w:val="es-ES"/>
              </w:rPr>
              <w:t xml:space="preserve"> y </w:t>
            </w:r>
            <w:r w:rsidRPr="00A743EE">
              <w:rPr>
                <w:b/>
                <w:bCs/>
                <w:sz w:val="22"/>
                <w:lang w:val="es-ES"/>
              </w:rPr>
              <w:t>30A</w:t>
            </w:r>
            <w:r w:rsidRPr="00A743EE">
              <w:rPr>
                <w:sz w:val="22"/>
                <w:lang w:val="es-ES"/>
              </w:rPr>
              <w:t xml:space="preserve">, u otras posibles opciones según el caso. En lo que respecta a la reducción del EPM de otros países resultante de la ausencia de respuesta a la solicitud de coordinación, se considera </w:t>
            </w:r>
            <w:r w:rsidRPr="00A743EE">
              <w:rPr>
                <w:sz w:val="22"/>
                <w:lang w:val="es-ES"/>
              </w:rPr>
              <w:lastRenderedPageBreak/>
              <w:t>necesario examinar detenidamente el fondo de los asuntos a fin de evitar que se produzcan esas reducciones en el futuro»</w:t>
            </w:r>
            <w:r w:rsidR="00563650" w:rsidRPr="00A743EE">
              <w:rPr>
                <w:sz w:val="22"/>
                <w:lang w:val="es-ES"/>
              </w:rPr>
              <w:t>.</w:t>
            </w:r>
          </w:p>
          <w:p w14:paraId="682A4104" w14:textId="77777777" w:rsidR="00A743EE" w:rsidRPr="00A743EE" w:rsidRDefault="00A743EE" w:rsidP="00B53355">
            <w:pPr>
              <w:spacing w:before="40" w:after="40"/>
              <w:rPr>
                <w:sz w:val="22"/>
                <w:lang w:val="es-ES"/>
              </w:rPr>
            </w:pPr>
            <w:r w:rsidRPr="00A743EE">
              <w:rPr>
                <w:sz w:val="22"/>
                <w:lang w:val="es-ES"/>
              </w:rPr>
              <w:t>3.32</w:t>
            </w:r>
            <w:r w:rsidRPr="00A743EE">
              <w:rPr>
                <w:sz w:val="22"/>
                <w:lang w:val="es-ES"/>
              </w:rPr>
              <w:tab/>
              <w:t xml:space="preserve">Así se </w:t>
            </w:r>
            <w:r w:rsidRPr="00A743EE">
              <w:rPr>
                <w:b/>
                <w:bCs/>
                <w:sz w:val="22"/>
                <w:lang w:val="es-ES"/>
              </w:rPr>
              <w:t>acuerda</w:t>
            </w:r>
            <w:r w:rsidRPr="00A743EE">
              <w:rPr>
                <w:sz w:val="22"/>
                <w:lang w:val="es-ES"/>
              </w:rPr>
              <w:t>.</w:t>
            </w:r>
          </w:p>
        </w:tc>
        <w:tc>
          <w:tcPr>
            <w:tcW w:w="1548" w:type="pct"/>
          </w:tcPr>
          <w:p w14:paraId="694232E3" w14:textId="41D1074B" w:rsidR="00A743EE" w:rsidRPr="00266695" w:rsidRDefault="00A743EE" w:rsidP="00B53355">
            <w:pPr>
              <w:pStyle w:val="Tabletext"/>
              <w:rPr>
                <w:lang w:val="es-ES"/>
              </w:rPr>
            </w:pPr>
          </w:p>
        </w:tc>
      </w:tr>
      <w:tr w:rsidR="00A743EE" w:rsidRPr="00D2027A" w14:paraId="3332D9D9" w14:textId="77777777" w:rsidTr="00924C8B">
        <w:trPr>
          <w:jc w:val="center"/>
        </w:trPr>
        <w:tc>
          <w:tcPr>
            <w:tcW w:w="183" w:type="pct"/>
          </w:tcPr>
          <w:p w14:paraId="47B347EC" w14:textId="77777777" w:rsidR="00A743EE" w:rsidRPr="00A616CA" w:rsidRDefault="00A743EE" w:rsidP="00B53355">
            <w:pPr>
              <w:pStyle w:val="Tabletext"/>
              <w:rPr>
                <w:lang w:val="es-ES"/>
              </w:rPr>
            </w:pPr>
            <w:r w:rsidRPr="00A616CA">
              <w:rPr>
                <w:lang w:val="es-ES"/>
              </w:rPr>
              <w:t>41</w:t>
            </w:r>
          </w:p>
        </w:tc>
        <w:tc>
          <w:tcPr>
            <w:tcW w:w="434" w:type="pct"/>
          </w:tcPr>
          <w:p w14:paraId="43DB063F" w14:textId="77777777" w:rsidR="00A743EE" w:rsidRPr="00A616CA" w:rsidRDefault="00A743EE" w:rsidP="00B53355">
            <w:pPr>
              <w:pStyle w:val="Tabletext"/>
              <w:rPr>
                <w:lang w:val="es-ES"/>
              </w:rPr>
            </w:pPr>
            <w:r w:rsidRPr="00A616CA">
              <w:rPr>
                <w:lang w:val="es-ES"/>
              </w:rPr>
              <w:t>CMR-12</w:t>
            </w:r>
          </w:p>
        </w:tc>
        <w:tc>
          <w:tcPr>
            <w:tcW w:w="523" w:type="pct"/>
          </w:tcPr>
          <w:p w14:paraId="33D75DEF" w14:textId="4E4DF9D6" w:rsidR="00A743EE" w:rsidRPr="00D2027A" w:rsidRDefault="00A743EE" w:rsidP="00B53355">
            <w:pPr>
              <w:pStyle w:val="Tabletext"/>
              <w:rPr>
                <w:rFonts w:asciiTheme="majorBidi" w:hAnsiTheme="majorBidi" w:cstheme="majorBidi"/>
                <w:szCs w:val="24"/>
                <w:lang w:val="es-ES"/>
              </w:rPr>
            </w:pPr>
            <w:r w:rsidRPr="00A743EE">
              <w:rPr>
                <w:lang w:val="es-ES"/>
              </w:rPr>
              <w:t>13ª</w:t>
            </w:r>
            <w:r w:rsidRPr="00D2027A">
              <w:rPr>
                <w:rFonts w:asciiTheme="majorBidi" w:hAnsiTheme="majorBidi" w:cstheme="majorBidi"/>
                <w:szCs w:val="24"/>
                <w:lang w:val="es-ES"/>
              </w:rPr>
              <w:t xml:space="preserve"> Plenaria</w:t>
            </w:r>
            <w:r>
              <w:rPr>
                <w:rFonts w:asciiTheme="majorBidi" w:hAnsiTheme="majorBidi" w:cstheme="majorBidi"/>
                <w:szCs w:val="24"/>
                <w:lang w:val="es-ES"/>
              </w:rPr>
              <w:br/>
            </w:r>
            <w:hyperlink r:id="rId147" w:history="1">
              <w:r w:rsidRPr="00D2027A">
                <w:rPr>
                  <w:rStyle w:val="Hyperlink"/>
                  <w:rFonts w:asciiTheme="majorBidi" w:hAnsiTheme="majorBidi" w:cstheme="majorBidi"/>
                  <w:szCs w:val="24"/>
                  <w:lang w:val="es-ES"/>
                </w:rPr>
                <w:t>Doc. 554</w:t>
              </w:r>
            </w:hyperlink>
          </w:p>
        </w:tc>
        <w:tc>
          <w:tcPr>
            <w:tcW w:w="2312" w:type="pct"/>
          </w:tcPr>
          <w:p w14:paraId="683B7A68" w14:textId="2C3372EC" w:rsidR="00A743EE" w:rsidRPr="00A743EE" w:rsidRDefault="00A743EE" w:rsidP="00B53355">
            <w:pPr>
              <w:spacing w:before="40" w:after="40"/>
              <w:rPr>
                <w:sz w:val="22"/>
                <w:lang w:val="es-ES"/>
              </w:rPr>
            </w:pPr>
            <w:r w:rsidRPr="00A743EE">
              <w:rPr>
                <w:sz w:val="22"/>
                <w:lang w:val="es-ES"/>
              </w:rPr>
              <w:t>3.36</w:t>
            </w:r>
            <w:r w:rsidRPr="00A743EE">
              <w:rPr>
                <w:sz w:val="22"/>
                <w:lang w:val="es-ES"/>
              </w:rPr>
              <w:tab/>
              <w:t xml:space="preserve">El </w:t>
            </w:r>
            <w:r w:rsidRPr="00A743EE">
              <w:rPr>
                <w:b/>
                <w:bCs/>
                <w:sz w:val="22"/>
                <w:lang w:val="es-ES"/>
              </w:rPr>
              <w:t>Presidente</w:t>
            </w:r>
            <w:r w:rsidRPr="00A743EE">
              <w:rPr>
                <w:sz w:val="22"/>
                <w:lang w:val="es-ES"/>
              </w:rPr>
              <w:t xml:space="preserve"> entiende que la Conferencia desea formular su conclusión como sigue: «La Conferencia insta a las Administraciones de Francia, la República Islámica de</w:t>
            </w:r>
            <w:r w:rsidR="00A864C4">
              <w:rPr>
                <w:sz w:val="22"/>
                <w:lang w:val="es-ES"/>
              </w:rPr>
              <w:t>l</w:t>
            </w:r>
            <w:r w:rsidRPr="00A743EE">
              <w:rPr>
                <w:sz w:val="22"/>
                <w:lang w:val="es-ES"/>
              </w:rPr>
              <w:t xml:space="preserve"> Irán y Arabia Saudita a acelerar sus negociaciones de coordinación y a hacer todo lo posible por encontrar una solución satisfactoria para la cuestión, teniendo en cuenta las recomendaciones formuladas por la RRB en su 58ª reunión, como se recogen en el Resumen de Decisiones correspondiente». </w:t>
            </w:r>
          </w:p>
          <w:p w14:paraId="4CD3C6CA" w14:textId="77777777" w:rsidR="00A743EE" w:rsidRPr="00A743EE" w:rsidRDefault="00A743EE" w:rsidP="00B53355">
            <w:pPr>
              <w:spacing w:before="40" w:after="40"/>
              <w:rPr>
                <w:sz w:val="22"/>
                <w:lang w:val="es-ES"/>
              </w:rPr>
            </w:pPr>
            <w:r w:rsidRPr="00A743EE">
              <w:rPr>
                <w:sz w:val="22"/>
                <w:lang w:val="es-ES"/>
              </w:rPr>
              <w:t>3.37</w:t>
            </w:r>
            <w:r w:rsidRPr="00A743EE">
              <w:rPr>
                <w:sz w:val="22"/>
                <w:lang w:val="es-ES"/>
              </w:rPr>
              <w:tab/>
              <w:t xml:space="preserve">Así se </w:t>
            </w:r>
            <w:r w:rsidRPr="00A743EE">
              <w:rPr>
                <w:b/>
                <w:bCs/>
                <w:sz w:val="22"/>
                <w:lang w:val="es-ES"/>
              </w:rPr>
              <w:t>acuerda</w:t>
            </w:r>
            <w:r w:rsidRPr="00A743EE">
              <w:rPr>
                <w:sz w:val="22"/>
                <w:lang w:val="es-ES"/>
              </w:rPr>
              <w:t>.</w:t>
            </w:r>
          </w:p>
        </w:tc>
        <w:tc>
          <w:tcPr>
            <w:tcW w:w="1548" w:type="pct"/>
          </w:tcPr>
          <w:p w14:paraId="47A5802B" w14:textId="3664AEE2" w:rsidR="00A743EE" w:rsidRPr="00266695" w:rsidRDefault="00A743EE" w:rsidP="00B53355">
            <w:pPr>
              <w:pStyle w:val="Tabletext"/>
              <w:rPr>
                <w:lang w:val="es-ES"/>
              </w:rPr>
            </w:pPr>
            <w:r w:rsidRPr="00266695">
              <w:rPr>
                <w:lang w:val="es-ES"/>
              </w:rPr>
              <w:t>Examinado en la reuniones 60 – 64ª de</w:t>
            </w:r>
            <w:r w:rsidR="00536113">
              <w:rPr>
                <w:lang w:val="es-ES"/>
              </w:rPr>
              <w:t xml:space="preserve"> </w:t>
            </w:r>
            <w:r w:rsidRPr="00266695">
              <w:rPr>
                <w:lang w:val="es-ES"/>
              </w:rPr>
              <w:t>la</w:t>
            </w:r>
            <w:r w:rsidR="00536113">
              <w:rPr>
                <w:lang w:val="es-ES"/>
              </w:rPr>
              <w:t> </w:t>
            </w:r>
            <w:r w:rsidRPr="00266695">
              <w:rPr>
                <w:lang w:val="es-ES"/>
              </w:rPr>
              <w:t>RRB.</w:t>
            </w:r>
          </w:p>
        </w:tc>
      </w:tr>
      <w:tr w:rsidR="00A743EE" w:rsidRPr="00D2027A" w14:paraId="15D850EA" w14:textId="77777777" w:rsidTr="00924C8B">
        <w:trPr>
          <w:jc w:val="center"/>
        </w:trPr>
        <w:tc>
          <w:tcPr>
            <w:tcW w:w="183" w:type="pct"/>
          </w:tcPr>
          <w:p w14:paraId="40DC26B5" w14:textId="77777777" w:rsidR="00A743EE" w:rsidRPr="00A616CA" w:rsidRDefault="00A743EE" w:rsidP="00B53355">
            <w:pPr>
              <w:pStyle w:val="Tabletext"/>
              <w:rPr>
                <w:lang w:val="es-ES"/>
              </w:rPr>
            </w:pPr>
            <w:r w:rsidRPr="00A616CA">
              <w:rPr>
                <w:lang w:val="es-ES"/>
              </w:rPr>
              <w:t>42</w:t>
            </w:r>
          </w:p>
        </w:tc>
        <w:tc>
          <w:tcPr>
            <w:tcW w:w="434" w:type="pct"/>
          </w:tcPr>
          <w:p w14:paraId="58C5D587" w14:textId="7B8FC714" w:rsidR="00A743EE" w:rsidRPr="00A616CA" w:rsidRDefault="00A743EE" w:rsidP="00B53355">
            <w:pPr>
              <w:pStyle w:val="Tabletext"/>
              <w:rPr>
                <w:lang w:val="es-ES"/>
              </w:rPr>
            </w:pPr>
            <w:r w:rsidRPr="00A616CA">
              <w:rPr>
                <w:lang w:val="es-ES"/>
              </w:rPr>
              <w:t>CMR-12</w:t>
            </w:r>
          </w:p>
        </w:tc>
        <w:tc>
          <w:tcPr>
            <w:tcW w:w="523" w:type="pct"/>
          </w:tcPr>
          <w:p w14:paraId="0F0A6AE2" w14:textId="770B1551" w:rsidR="00A743EE" w:rsidRPr="00D2027A" w:rsidRDefault="00A743EE" w:rsidP="00B53355">
            <w:pPr>
              <w:pStyle w:val="Tabletext"/>
              <w:rPr>
                <w:rFonts w:asciiTheme="majorBidi" w:hAnsiTheme="majorBidi" w:cstheme="majorBidi"/>
                <w:szCs w:val="24"/>
                <w:lang w:val="es-ES"/>
              </w:rPr>
            </w:pPr>
            <w:r w:rsidRPr="00A743EE">
              <w:rPr>
                <w:lang w:val="es-ES"/>
              </w:rPr>
              <w:t>13ª</w:t>
            </w:r>
            <w:r w:rsidRPr="00D2027A">
              <w:rPr>
                <w:rFonts w:asciiTheme="majorBidi" w:hAnsiTheme="majorBidi" w:cstheme="majorBidi"/>
                <w:szCs w:val="24"/>
                <w:lang w:val="es-ES"/>
              </w:rPr>
              <w:t xml:space="preserve"> Plenaria</w:t>
            </w:r>
            <w:r>
              <w:rPr>
                <w:rFonts w:asciiTheme="majorBidi" w:hAnsiTheme="majorBidi" w:cstheme="majorBidi"/>
                <w:szCs w:val="24"/>
                <w:lang w:val="es-ES"/>
              </w:rPr>
              <w:br/>
            </w:r>
            <w:hyperlink r:id="rId148" w:history="1">
              <w:r w:rsidRPr="00D2027A">
                <w:rPr>
                  <w:rStyle w:val="Hyperlink"/>
                  <w:rFonts w:asciiTheme="majorBidi" w:hAnsiTheme="majorBidi" w:cstheme="majorBidi"/>
                  <w:szCs w:val="24"/>
                  <w:lang w:val="es-ES"/>
                </w:rPr>
                <w:t>Doc. 554</w:t>
              </w:r>
            </w:hyperlink>
          </w:p>
        </w:tc>
        <w:tc>
          <w:tcPr>
            <w:tcW w:w="2312" w:type="pct"/>
          </w:tcPr>
          <w:p w14:paraId="1DB32749" w14:textId="44381AD8" w:rsidR="00A743EE" w:rsidRPr="00A743EE" w:rsidRDefault="00A743EE" w:rsidP="00B53355">
            <w:pPr>
              <w:spacing w:before="40" w:after="40"/>
              <w:rPr>
                <w:sz w:val="22"/>
                <w:lang w:val="es-ES"/>
              </w:rPr>
            </w:pPr>
            <w:r w:rsidRPr="00A743EE">
              <w:rPr>
                <w:sz w:val="22"/>
                <w:lang w:val="es-ES"/>
              </w:rPr>
              <w:t>3.38</w:t>
            </w:r>
            <w:r w:rsidRPr="00A743EE">
              <w:rPr>
                <w:sz w:val="22"/>
                <w:lang w:val="es-ES"/>
              </w:rPr>
              <w:tab/>
              <w:t xml:space="preserve">El </w:t>
            </w:r>
            <w:r w:rsidRPr="00A743EE">
              <w:rPr>
                <w:b/>
                <w:bCs/>
                <w:sz w:val="22"/>
                <w:lang w:val="es-ES"/>
              </w:rPr>
              <w:t>Presidente de la Comisión 5</w:t>
            </w:r>
            <w:r w:rsidRPr="00A743EE">
              <w:rPr>
                <w:sz w:val="22"/>
                <w:lang w:val="es-ES"/>
              </w:rPr>
              <w:t xml:space="preserve">, al presentar el </w:t>
            </w:r>
            <w:hyperlink r:id="rId149" w:history="1">
              <w:r w:rsidRPr="00A743EE">
                <w:rPr>
                  <w:rStyle w:val="Hyperlink"/>
                  <w:sz w:val="22"/>
                  <w:lang w:val="es-ES"/>
                </w:rPr>
                <w:t>Documento</w:t>
              </w:r>
              <w:r w:rsidR="00536113">
                <w:rPr>
                  <w:rStyle w:val="Hyperlink"/>
                  <w:sz w:val="22"/>
                  <w:lang w:val="es-ES"/>
                </w:rPr>
                <w:t> </w:t>
              </w:r>
              <w:r w:rsidRPr="00A743EE">
                <w:rPr>
                  <w:rStyle w:val="Hyperlink"/>
                  <w:sz w:val="22"/>
                  <w:lang w:val="es-ES"/>
                </w:rPr>
                <w:t>526</w:t>
              </w:r>
            </w:hyperlink>
            <w:r w:rsidRPr="00A743EE">
              <w:rPr>
                <w:sz w:val="22"/>
                <w:lang w:val="es-ES"/>
              </w:rPr>
              <w:t xml:space="preserve">, da las gracias al Director y a la Oficina de Radiocomunicaciones por los esfuerzos invertidos en la elaboración del Informe del Director a la Conferencia sobre las actividades del Sector de Radiocomunicaciones. En el anexo al </w:t>
            </w:r>
            <w:hyperlink r:id="rId150" w:history="1">
              <w:r w:rsidRPr="00A743EE">
                <w:rPr>
                  <w:rStyle w:val="Hyperlink"/>
                  <w:sz w:val="22"/>
                  <w:lang w:val="es-ES"/>
                </w:rPr>
                <w:t>Documento 526</w:t>
              </w:r>
            </w:hyperlink>
            <w:r w:rsidRPr="00A743EE">
              <w:rPr>
                <w:sz w:val="22"/>
                <w:lang w:val="es-ES"/>
              </w:rPr>
              <w:t xml:space="preserve"> se recogen los detalles de las deliberaciones de la Comisión 5 sobre las partes pertinentes del Informe del Director (atribuidas a la Comisión 5 en el </w:t>
            </w:r>
            <w:hyperlink r:id="rId151" w:history="1">
              <w:r w:rsidRPr="00A743EE">
                <w:rPr>
                  <w:rStyle w:val="Hyperlink"/>
                  <w:sz w:val="22"/>
                  <w:lang w:val="es-ES"/>
                </w:rPr>
                <w:t>Documento 141</w:t>
              </w:r>
            </w:hyperlink>
            <w:r w:rsidRPr="00A743EE">
              <w:rPr>
                <w:sz w:val="22"/>
                <w:lang w:val="es-ES"/>
              </w:rPr>
              <w:t>).</w:t>
            </w:r>
          </w:p>
          <w:p w14:paraId="7CF6E46C" w14:textId="4CCC9775" w:rsidR="00A743EE" w:rsidRPr="00A743EE" w:rsidRDefault="00A743EE" w:rsidP="00B53355">
            <w:pPr>
              <w:spacing w:before="40" w:after="40"/>
              <w:rPr>
                <w:sz w:val="22"/>
                <w:lang w:val="es-ES"/>
              </w:rPr>
            </w:pPr>
            <w:r w:rsidRPr="00A743EE">
              <w:rPr>
                <w:sz w:val="22"/>
                <w:lang w:val="es-ES"/>
              </w:rPr>
              <w:t>3.39</w:t>
            </w:r>
            <w:r w:rsidRPr="00A743EE">
              <w:rPr>
                <w:sz w:val="22"/>
                <w:lang w:val="es-ES"/>
              </w:rPr>
              <w:tab/>
              <w:t xml:space="preserve">El </w:t>
            </w:r>
            <w:r w:rsidRPr="00A743EE">
              <w:rPr>
                <w:b/>
                <w:bCs/>
                <w:sz w:val="22"/>
                <w:lang w:val="es-ES"/>
              </w:rPr>
              <w:t>delegado de la República Islámica de</w:t>
            </w:r>
            <w:r w:rsidR="00A864C4">
              <w:rPr>
                <w:b/>
                <w:bCs/>
                <w:sz w:val="22"/>
                <w:lang w:val="es-ES"/>
              </w:rPr>
              <w:t>l</w:t>
            </w:r>
            <w:r w:rsidRPr="00A743EE">
              <w:rPr>
                <w:b/>
                <w:bCs/>
                <w:sz w:val="22"/>
                <w:lang w:val="es-ES"/>
              </w:rPr>
              <w:t xml:space="preserve"> Irán</w:t>
            </w:r>
            <w:r w:rsidRPr="00A743EE">
              <w:rPr>
                <w:sz w:val="22"/>
                <w:lang w:val="es-ES"/>
              </w:rPr>
              <w:t xml:space="preserve"> da las gracias al Director y a su personal por tan detallado y valioso Informe. Las conclusiones del Informe, a las que se llegó antes de celebrarse la Conferencia, se han de aplicar de conformidad con las decisiones de la CMR-12. En lo que respecta al § 3.8.1 del anexo al </w:t>
            </w:r>
            <w:hyperlink r:id="rId152" w:history="1">
              <w:r w:rsidRPr="00A743EE">
                <w:rPr>
                  <w:rStyle w:val="Hyperlink"/>
                  <w:sz w:val="22"/>
                  <w:lang w:val="es-ES"/>
                </w:rPr>
                <w:t>Documento 526</w:t>
              </w:r>
            </w:hyperlink>
            <w:r w:rsidRPr="00A743EE">
              <w:rPr>
                <w:sz w:val="22"/>
                <w:lang w:val="es-ES"/>
              </w:rPr>
              <w:t>, dice que, aunque por ahora no se pretende modificar el Reglamento de Radiocomunicaciones, se debería elaborar un proyecto de Regla de Procedimiento para presentarlo a la próxima reunión de la RRB. En la misma línea, propone que se modifique el texto de la segunda frase, sustituyendo «alentar» por «encargar».</w:t>
            </w:r>
          </w:p>
          <w:p w14:paraId="26A5F953" w14:textId="77777777" w:rsidR="00A743EE" w:rsidRPr="00A743EE" w:rsidRDefault="00A743EE" w:rsidP="00B53355">
            <w:pPr>
              <w:spacing w:before="40" w:after="40"/>
              <w:rPr>
                <w:sz w:val="22"/>
                <w:lang w:val="es-ES"/>
              </w:rPr>
            </w:pPr>
            <w:r w:rsidRPr="00A743EE">
              <w:rPr>
                <w:sz w:val="22"/>
                <w:lang w:val="es-ES"/>
              </w:rPr>
              <w:t>3.40</w:t>
            </w:r>
            <w:r w:rsidRPr="00A743EE">
              <w:rPr>
                <w:sz w:val="22"/>
                <w:lang w:val="es-ES"/>
              </w:rPr>
              <w:tab/>
              <w:t xml:space="preserve">Así se </w:t>
            </w:r>
            <w:r w:rsidRPr="00A743EE">
              <w:rPr>
                <w:b/>
                <w:bCs/>
                <w:sz w:val="22"/>
                <w:lang w:val="es-ES"/>
              </w:rPr>
              <w:t>acuerda</w:t>
            </w:r>
            <w:r w:rsidRPr="00A743EE">
              <w:rPr>
                <w:sz w:val="22"/>
                <w:lang w:val="es-ES"/>
              </w:rPr>
              <w:t>.</w:t>
            </w:r>
          </w:p>
          <w:p w14:paraId="485AA2D1" w14:textId="14B50C1D" w:rsidR="00A743EE" w:rsidRPr="00A743EE" w:rsidRDefault="00A743EE" w:rsidP="00B53355">
            <w:pPr>
              <w:spacing w:before="40" w:after="40"/>
              <w:rPr>
                <w:sz w:val="22"/>
                <w:lang w:val="es-ES"/>
              </w:rPr>
            </w:pPr>
            <w:r w:rsidRPr="00A743EE">
              <w:rPr>
                <w:sz w:val="22"/>
                <w:lang w:val="es-ES"/>
              </w:rPr>
              <w:t>3.41</w:t>
            </w:r>
            <w:r w:rsidRPr="00A743EE">
              <w:rPr>
                <w:sz w:val="22"/>
                <w:lang w:val="es-ES"/>
              </w:rPr>
              <w:tab/>
              <w:t xml:space="preserve">Con la modificación indicada, se </w:t>
            </w:r>
            <w:r w:rsidRPr="00A743EE">
              <w:rPr>
                <w:b/>
                <w:bCs/>
                <w:sz w:val="22"/>
                <w:lang w:val="es-ES"/>
              </w:rPr>
              <w:t xml:space="preserve">aprueba </w:t>
            </w:r>
            <w:r w:rsidRPr="00A743EE">
              <w:rPr>
                <w:sz w:val="22"/>
                <w:lang w:val="es-ES"/>
              </w:rPr>
              <w:t xml:space="preserve">el </w:t>
            </w:r>
            <w:hyperlink r:id="rId153" w:history="1">
              <w:r w:rsidRPr="00A743EE">
                <w:rPr>
                  <w:rStyle w:val="Hyperlink"/>
                  <w:sz w:val="22"/>
                  <w:lang w:val="es-ES"/>
                </w:rPr>
                <w:t>Documento</w:t>
              </w:r>
              <w:r w:rsidR="00536113">
                <w:rPr>
                  <w:rStyle w:val="Hyperlink"/>
                  <w:sz w:val="22"/>
                  <w:lang w:val="es-ES"/>
                </w:rPr>
                <w:t> </w:t>
              </w:r>
              <w:r w:rsidRPr="00A743EE">
                <w:rPr>
                  <w:rStyle w:val="Hyperlink"/>
                  <w:sz w:val="22"/>
                  <w:lang w:val="es-ES"/>
                </w:rPr>
                <w:t>526</w:t>
              </w:r>
            </w:hyperlink>
            <w:r w:rsidRPr="00A743EE">
              <w:rPr>
                <w:sz w:val="22"/>
                <w:lang w:val="es-ES"/>
              </w:rPr>
              <w:t>.</w:t>
            </w:r>
          </w:p>
          <w:p w14:paraId="58251892" w14:textId="77777777" w:rsidR="00A743EE" w:rsidRPr="00A743EE" w:rsidRDefault="00A743EE" w:rsidP="00B53355">
            <w:pPr>
              <w:spacing w:before="40" w:after="40"/>
              <w:rPr>
                <w:sz w:val="22"/>
                <w:lang w:val="es-ES"/>
              </w:rPr>
            </w:pPr>
            <w:r w:rsidRPr="00A743EE">
              <w:rPr>
                <w:sz w:val="22"/>
                <w:lang w:val="es-ES"/>
              </w:rPr>
              <w:lastRenderedPageBreak/>
              <w:t>3.42</w:t>
            </w:r>
            <w:r w:rsidRPr="00A743EE">
              <w:rPr>
                <w:sz w:val="22"/>
                <w:lang w:val="es-ES"/>
              </w:rPr>
              <w:tab/>
              <w:t xml:space="preserve">El </w:t>
            </w:r>
            <w:r w:rsidRPr="00A743EE">
              <w:rPr>
                <w:b/>
                <w:bCs/>
                <w:sz w:val="22"/>
                <w:lang w:val="es-ES"/>
              </w:rPr>
              <w:t>Presidente</w:t>
            </w:r>
            <w:r w:rsidRPr="00A743EE">
              <w:rPr>
                <w:sz w:val="22"/>
                <w:lang w:val="es-ES"/>
              </w:rPr>
              <w:t xml:space="preserve"> entiende que la Conferencia decide encargar a la Oficina de Radiocomunicaciones que elabore un proyecto de Regla de Procedimiento relativa al examen con arreglo al § 2.2 del Anexo 4 al Apéndice </w:t>
            </w:r>
            <w:r w:rsidRPr="007F5588">
              <w:rPr>
                <w:b/>
                <w:bCs/>
                <w:sz w:val="22"/>
                <w:lang w:val="es-ES"/>
              </w:rPr>
              <w:t>30B</w:t>
            </w:r>
            <w:r w:rsidRPr="00A743EE">
              <w:rPr>
                <w:sz w:val="22"/>
                <w:lang w:val="es-ES"/>
              </w:rPr>
              <w:t>, como se indica en el § 3.8.1 del anexo al Documento 526.</w:t>
            </w:r>
          </w:p>
          <w:p w14:paraId="222C816B" w14:textId="77777777" w:rsidR="00A743EE" w:rsidRPr="00A743EE" w:rsidRDefault="00A743EE" w:rsidP="00B53355">
            <w:pPr>
              <w:spacing w:before="40" w:after="40"/>
              <w:rPr>
                <w:sz w:val="22"/>
                <w:lang w:val="es-ES"/>
              </w:rPr>
            </w:pPr>
            <w:r w:rsidRPr="00A743EE">
              <w:rPr>
                <w:sz w:val="22"/>
                <w:lang w:val="es-ES"/>
              </w:rPr>
              <w:t>3.43</w:t>
            </w:r>
            <w:r w:rsidRPr="00A743EE">
              <w:rPr>
                <w:sz w:val="22"/>
                <w:lang w:val="es-ES"/>
              </w:rPr>
              <w:tab/>
              <w:t xml:space="preserve">Así se </w:t>
            </w:r>
            <w:r w:rsidRPr="00A743EE">
              <w:rPr>
                <w:b/>
                <w:bCs/>
                <w:sz w:val="22"/>
                <w:lang w:val="es-ES"/>
              </w:rPr>
              <w:t>acuerda</w:t>
            </w:r>
            <w:r w:rsidRPr="00A743EE">
              <w:rPr>
                <w:sz w:val="22"/>
                <w:lang w:val="es-ES"/>
              </w:rPr>
              <w:t>.</w:t>
            </w:r>
          </w:p>
        </w:tc>
        <w:tc>
          <w:tcPr>
            <w:tcW w:w="1548" w:type="pct"/>
          </w:tcPr>
          <w:p w14:paraId="15B4E0F2" w14:textId="77777777" w:rsidR="00A743EE" w:rsidRPr="00D2027A" w:rsidRDefault="00A743EE" w:rsidP="00B53355">
            <w:pPr>
              <w:pStyle w:val="Tabletext"/>
              <w:rPr>
                <w:rFonts w:asciiTheme="majorBidi" w:hAnsiTheme="majorBidi" w:cstheme="majorBidi"/>
                <w:szCs w:val="24"/>
                <w:lang w:val="es-ES"/>
              </w:rPr>
            </w:pPr>
            <w:r w:rsidRPr="00266695">
              <w:rPr>
                <w:lang w:val="es-ES"/>
              </w:rPr>
              <w:lastRenderedPageBreak/>
              <w:t>Anexo</w:t>
            </w:r>
            <w:r w:rsidRPr="00D2027A">
              <w:rPr>
                <w:rFonts w:asciiTheme="majorBidi" w:hAnsiTheme="majorBidi" w:cstheme="majorBidi"/>
                <w:szCs w:val="24"/>
                <w:lang w:val="es-ES"/>
              </w:rPr>
              <w:t> 4 del Apéndice </w:t>
            </w:r>
            <w:r w:rsidRPr="007F5588">
              <w:rPr>
                <w:rFonts w:asciiTheme="majorBidi" w:hAnsiTheme="majorBidi" w:cstheme="majorBidi"/>
                <w:b/>
                <w:bCs/>
                <w:szCs w:val="24"/>
                <w:lang w:val="es-ES"/>
              </w:rPr>
              <w:t>30B</w:t>
            </w:r>
            <w:r w:rsidRPr="00D2027A">
              <w:rPr>
                <w:rFonts w:asciiTheme="majorBidi" w:hAnsiTheme="majorBidi" w:cstheme="majorBidi"/>
                <w:szCs w:val="24"/>
                <w:lang w:val="es-ES"/>
              </w:rPr>
              <w:t>:</w:t>
            </w:r>
          </w:p>
          <w:p w14:paraId="57266746" w14:textId="39B680FA" w:rsidR="00A743EE" w:rsidRPr="00D2027A" w:rsidRDefault="00A743EE" w:rsidP="00B53355">
            <w:pPr>
              <w:pStyle w:val="Tabletext"/>
              <w:rPr>
                <w:rFonts w:asciiTheme="majorBidi" w:hAnsiTheme="majorBidi" w:cstheme="majorBidi"/>
                <w:szCs w:val="24"/>
                <w:lang w:val="es-ES"/>
              </w:rPr>
            </w:pPr>
            <w:r w:rsidRPr="00D2027A">
              <w:rPr>
                <w:rFonts w:asciiTheme="majorBidi" w:hAnsiTheme="majorBidi" w:cstheme="majorBidi"/>
                <w:szCs w:val="24"/>
                <w:lang w:val="es-ES"/>
              </w:rPr>
              <w:t>La RRB aprobó la RoP relativa al número 6.16 del Apéndice </w:t>
            </w:r>
            <w:r w:rsidRPr="007F5588">
              <w:rPr>
                <w:rFonts w:asciiTheme="majorBidi" w:hAnsiTheme="majorBidi" w:cstheme="majorBidi"/>
                <w:b/>
                <w:bCs/>
                <w:szCs w:val="24"/>
                <w:lang w:val="es-ES"/>
              </w:rPr>
              <w:t>30B</w:t>
            </w:r>
            <w:r w:rsidRPr="00D2027A">
              <w:rPr>
                <w:rFonts w:asciiTheme="majorBidi" w:hAnsiTheme="majorBidi" w:cstheme="majorBidi"/>
                <w:szCs w:val="24"/>
                <w:lang w:val="es-ES"/>
              </w:rPr>
              <w:t xml:space="preserve"> en su 60ª</w:t>
            </w:r>
            <w:r w:rsidR="00563650">
              <w:rPr>
                <w:rFonts w:asciiTheme="majorBidi" w:hAnsiTheme="majorBidi" w:cstheme="majorBidi"/>
                <w:szCs w:val="24"/>
                <w:lang w:val="es-ES"/>
              </w:rPr>
              <w:t> </w:t>
            </w:r>
            <w:r w:rsidR="00D156CD">
              <w:rPr>
                <w:rFonts w:asciiTheme="majorBidi" w:hAnsiTheme="majorBidi" w:cstheme="majorBidi"/>
                <w:szCs w:val="24"/>
                <w:lang w:val="es-ES"/>
              </w:rPr>
              <w:t>r</w:t>
            </w:r>
            <w:r w:rsidRPr="00D2027A">
              <w:rPr>
                <w:rFonts w:asciiTheme="majorBidi" w:hAnsiTheme="majorBidi" w:cstheme="majorBidi"/>
                <w:szCs w:val="24"/>
                <w:lang w:val="es-ES"/>
              </w:rPr>
              <w:t>eunión (</w:t>
            </w:r>
            <w:hyperlink r:id="rId154" w:history="1">
              <w:r w:rsidRPr="00D2027A">
                <w:rPr>
                  <w:rStyle w:val="Hyperlink"/>
                  <w:rFonts w:asciiTheme="majorBidi" w:hAnsiTheme="majorBidi" w:cstheme="majorBidi"/>
                  <w:szCs w:val="24"/>
                  <w:lang w:val="es-ES"/>
                </w:rPr>
                <w:t>CR/339</w:t>
              </w:r>
            </w:hyperlink>
            <w:r w:rsidRPr="00D2027A">
              <w:rPr>
                <w:rFonts w:asciiTheme="majorBidi" w:hAnsiTheme="majorBidi" w:cstheme="majorBidi"/>
                <w:szCs w:val="24"/>
                <w:lang w:val="es-ES"/>
              </w:rPr>
              <w:t>)</w:t>
            </w:r>
          </w:p>
          <w:p w14:paraId="7754CD94" w14:textId="77777777" w:rsidR="00A743EE" w:rsidRPr="00D2027A" w:rsidRDefault="00A743EE" w:rsidP="00B53355">
            <w:pPr>
              <w:pStyle w:val="Tabletext"/>
              <w:rPr>
                <w:rFonts w:asciiTheme="majorBidi" w:hAnsiTheme="majorBidi" w:cstheme="majorBidi"/>
                <w:szCs w:val="24"/>
                <w:lang w:val="es-ES"/>
              </w:rPr>
            </w:pPr>
            <w:r w:rsidRPr="00266695">
              <w:rPr>
                <w:lang w:val="es-ES"/>
              </w:rPr>
              <w:t>Límites</w:t>
            </w:r>
            <w:r w:rsidRPr="00D2027A">
              <w:rPr>
                <w:rFonts w:asciiTheme="majorBidi" w:hAnsiTheme="majorBidi" w:cstheme="majorBidi"/>
                <w:szCs w:val="24"/>
                <w:lang w:val="es-ES"/>
              </w:rPr>
              <w:t xml:space="preserve"> de dfp para haces orientables en el Apéndice </w:t>
            </w:r>
            <w:r w:rsidRPr="007F5588">
              <w:rPr>
                <w:rFonts w:asciiTheme="majorBidi" w:hAnsiTheme="majorBidi" w:cstheme="majorBidi"/>
                <w:b/>
                <w:bCs/>
                <w:szCs w:val="24"/>
                <w:lang w:val="es-ES"/>
              </w:rPr>
              <w:t>30B</w:t>
            </w:r>
            <w:r w:rsidRPr="00D2027A">
              <w:rPr>
                <w:rFonts w:asciiTheme="majorBidi" w:hAnsiTheme="majorBidi" w:cstheme="majorBidi"/>
                <w:szCs w:val="24"/>
                <w:lang w:val="es-ES"/>
              </w:rPr>
              <w:t>:</w:t>
            </w:r>
          </w:p>
          <w:p w14:paraId="28B07DD6" w14:textId="2865AACC" w:rsidR="00A743EE" w:rsidRPr="00D2027A" w:rsidRDefault="00A743EE" w:rsidP="00B53355">
            <w:pPr>
              <w:pStyle w:val="Tabletext"/>
              <w:rPr>
                <w:rFonts w:asciiTheme="majorBidi" w:hAnsiTheme="majorBidi" w:cstheme="majorBidi"/>
                <w:szCs w:val="24"/>
                <w:lang w:val="es-ES"/>
              </w:rPr>
            </w:pPr>
            <w:r w:rsidRPr="00D2027A">
              <w:rPr>
                <w:rFonts w:asciiTheme="majorBidi" w:hAnsiTheme="majorBidi" w:cstheme="majorBidi"/>
                <w:szCs w:val="24"/>
                <w:lang w:val="es-ES"/>
              </w:rPr>
              <w:t>La RRB aprobó la correspondiente RoP relativa al número </w:t>
            </w:r>
            <w:r w:rsidRPr="007F5588">
              <w:rPr>
                <w:rFonts w:asciiTheme="majorBidi" w:hAnsiTheme="majorBidi" w:cstheme="majorBidi"/>
                <w:b/>
                <w:bCs/>
                <w:szCs w:val="24"/>
                <w:lang w:val="es-ES"/>
              </w:rPr>
              <w:t>21.16</w:t>
            </w:r>
            <w:r w:rsidRPr="00D2027A">
              <w:rPr>
                <w:rFonts w:asciiTheme="majorBidi" w:hAnsiTheme="majorBidi" w:cstheme="majorBidi"/>
                <w:szCs w:val="24"/>
                <w:lang w:val="es-ES"/>
              </w:rPr>
              <w:t xml:space="preserve"> en su 60ª </w:t>
            </w:r>
            <w:r w:rsidR="00D156CD">
              <w:rPr>
                <w:rFonts w:asciiTheme="majorBidi" w:hAnsiTheme="majorBidi" w:cstheme="majorBidi"/>
                <w:szCs w:val="24"/>
                <w:lang w:val="es-ES"/>
              </w:rPr>
              <w:t>r</w:t>
            </w:r>
            <w:r w:rsidRPr="00D2027A">
              <w:rPr>
                <w:rFonts w:asciiTheme="majorBidi" w:hAnsiTheme="majorBidi" w:cstheme="majorBidi"/>
                <w:szCs w:val="24"/>
                <w:lang w:val="es-ES"/>
              </w:rPr>
              <w:t>eunión (</w:t>
            </w:r>
            <w:hyperlink r:id="rId155" w:history="1">
              <w:r w:rsidRPr="00D2027A">
                <w:rPr>
                  <w:rStyle w:val="Hyperlink"/>
                  <w:rFonts w:asciiTheme="majorBidi" w:hAnsiTheme="majorBidi" w:cstheme="majorBidi"/>
                  <w:szCs w:val="24"/>
                  <w:lang w:val="es-ES"/>
                </w:rPr>
                <w:t>CR/339</w:t>
              </w:r>
            </w:hyperlink>
            <w:r w:rsidRPr="00D2027A">
              <w:rPr>
                <w:rFonts w:asciiTheme="majorBidi" w:hAnsiTheme="majorBidi" w:cstheme="majorBidi"/>
                <w:szCs w:val="24"/>
                <w:lang w:val="es-ES"/>
              </w:rPr>
              <w:t>)</w:t>
            </w:r>
            <w:r w:rsidR="00D156CD">
              <w:rPr>
                <w:rFonts w:asciiTheme="majorBidi" w:hAnsiTheme="majorBidi" w:cstheme="majorBidi"/>
                <w:szCs w:val="24"/>
                <w:lang w:val="es-ES"/>
              </w:rPr>
              <w:t>.</w:t>
            </w:r>
          </w:p>
        </w:tc>
      </w:tr>
      <w:tr w:rsidR="007F5588" w:rsidRPr="00D2027A" w14:paraId="65B95A0B" w14:textId="77777777" w:rsidTr="00924C8B">
        <w:trPr>
          <w:jc w:val="center"/>
        </w:trPr>
        <w:tc>
          <w:tcPr>
            <w:tcW w:w="183" w:type="pct"/>
          </w:tcPr>
          <w:p w14:paraId="26A4D024" w14:textId="77777777" w:rsidR="007F5588" w:rsidRPr="00A616CA" w:rsidRDefault="007F5588" w:rsidP="00B53355">
            <w:pPr>
              <w:pStyle w:val="Tabletext"/>
              <w:rPr>
                <w:lang w:val="es-ES"/>
              </w:rPr>
            </w:pPr>
            <w:r w:rsidRPr="00A616CA">
              <w:rPr>
                <w:lang w:val="es-ES"/>
              </w:rPr>
              <w:t>43</w:t>
            </w:r>
          </w:p>
        </w:tc>
        <w:tc>
          <w:tcPr>
            <w:tcW w:w="434" w:type="pct"/>
          </w:tcPr>
          <w:p w14:paraId="1BD1B239" w14:textId="55D53FC1" w:rsidR="007F5588" w:rsidRPr="00A616CA" w:rsidRDefault="007F5588" w:rsidP="00B53355">
            <w:pPr>
              <w:pStyle w:val="Tabletext"/>
              <w:rPr>
                <w:lang w:val="es-ES"/>
              </w:rPr>
            </w:pPr>
            <w:r w:rsidRPr="00A616CA">
              <w:rPr>
                <w:lang w:val="es-ES"/>
              </w:rPr>
              <w:t>CMR-12</w:t>
            </w:r>
          </w:p>
        </w:tc>
        <w:tc>
          <w:tcPr>
            <w:tcW w:w="523" w:type="pct"/>
          </w:tcPr>
          <w:p w14:paraId="10501644" w14:textId="3B09F5BD" w:rsidR="007F5588" w:rsidRPr="00D2027A" w:rsidRDefault="007F5588" w:rsidP="00B53355">
            <w:pPr>
              <w:pStyle w:val="Tabletext"/>
              <w:rPr>
                <w:rFonts w:asciiTheme="majorBidi" w:hAnsiTheme="majorBidi" w:cstheme="majorBidi"/>
                <w:szCs w:val="24"/>
                <w:lang w:val="es-ES"/>
              </w:rPr>
            </w:pPr>
            <w:r w:rsidRPr="00A743EE">
              <w:rPr>
                <w:lang w:val="es-ES"/>
              </w:rPr>
              <w:t>13ª</w:t>
            </w:r>
            <w:r w:rsidRPr="00D2027A">
              <w:rPr>
                <w:rFonts w:asciiTheme="majorBidi" w:hAnsiTheme="majorBidi" w:cstheme="majorBidi"/>
                <w:szCs w:val="24"/>
                <w:lang w:val="es-ES"/>
              </w:rPr>
              <w:t xml:space="preserve"> Plenaria</w:t>
            </w:r>
            <w:r>
              <w:rPr>
                <w:rFonts w:asciiTheme="majorBidi" w:hAnsiTheme="majorBidi" w:cstheme="majorBidi"/>
                <w:szCs w:val="24"/>
                <w:lang w:val="es-ES"/>
              </w:rPr>
              <w:br/>
            </w:r>
            <w:hyperlink r:id="rId156" w:history="1">
              <w:r w:rsidRPr="00D2027A">
                <w:rPr>
                  <w:rStyle w:val="Hyperlink"/>
                  <w:rFonts w:asciiTheme="majorBidi" w:hAnsiTheme="majorBidi" w:cstheme="majorBidi"/>
                  <w:szCs w:val="24"/>
                  <w:lang w:val="es-ES"/>
                </w:rPr>
                <w:t>Doc. 554</w:t>
              </w:r>
            </w:hyperlink>
          </w:p>
        </w:tc>
        <w:tc>
          <w:tcPr>
            <w:tcW w:w="2312" w:type="pct"/>
          </w:tcPr>
          <w:p w14:paraId="6B72E087" w14:textId="77777777" w:rsidR="007F5588" w:rsidRPr="007F5588" w:rsidRDefault="007F5588" w:rsidP="00B53355">
            <w:pPr>
              <w:spacing w:before="40" w:after="40"/>
              <w:rPr>
                <w:sz w:val="22"/>
                <w:lang w:val="es-ES"/>
              </w:rPr>
            </w:pPr>
            <w:r w:rsidRPr="007F5588">
              <w:rPr>
                <w:sz w:val="22"/>
                <w:lang w:val="es-ES"/>
              </w:rPr>
              <w:t>9.1</w:t>
            </w:r>
            <w:r w:rsidRPr="007F5588">
              <w:rPr>
                <w:sz w:val="22"/>
                <w:lang w:val="es-ES"/>
              </w:rPr>
              <w:tab/>
              <w:t>… la Comisión llegó a la siguiente conclusión y solicita a la Plenaria que la apruebe como decisión de la Conferencia:</w:t>
            </w:r>
          </w:p>
          <w:p w14:paraId="311C933B" w14:textId="3153FE8B" w:rsidR="007F5588" w:rsidRPr="007F5588" w:rsidRDefault="007F5588" w:rsidP="00B53355">
            <w:pPr>
              <w:spacing w:before="40" w:after="40"/>
              <w:ind w:left="329"/>
              <w:rPr>
                <w:rFonts w:eastAsia="SimSun"/>
                <w:sz w:val="22"/>
                <w:lang w:val="es-ES" w:eastAsia="zh-CN"/>
              </w:rPr>
            </w:pPr>
            <w:r w:rsidRPr="007F5588">
              <w:rPr>
                <w:rFonts w:eastAsia="SimSun"/>
                <w:sz w:val="22"/>
                <w:lang w:val="es-ES" w:eastAsia="zh-CN"/>
              </w:rPr>
              <w:t xml:space="preserve">«Si se produjera una avería en un satélite, especialmente si se trata de un satélite de nuevo lanzamiento, durante los 90 días posteriores a su puesta en servicio que provocara que fuera técnicamente imposible que el satélite funcione en una banda de frecuencias determinada, la administración notificante podrá someter el caso al examen y la atenta investigación de la Junta, teniendo en cuenta todos los materiales de apoyo, incluidos los detalles sobre el satélite averiado, a fin de que ésta pueda decidir sobre la cuestión, según estime conveniente. Al examinar dicha cuestión, la Junta podrá decidir caso por caso si procede aplicar las disposiciones del número </w:t>
            </w:r>
            <w:r w:rsidRPr="007F5588">
              <w:rPr>
                <w:rFonts w:eastAsia="SimSun"/>
                <w:b/>
                <w:sz w:val="22"/>
                <w:lang w:val="es-ES" w:eastAsia="zh-CN"/>
              </w:rPr>
              <w:t>11.49</w:t>
            </w:r>
            <w:r w:rsidRPr="007F5588">
              <w:rPr>
                <w:rFonts w:eastAsia="SimSun"/>
                <w:sz w:val="22"/>
                <w:lang w:val="es-ES" w:eastAsia="zh-CN"/>
              </w:rPr>
              <w:t xml:space="preserve"> a las asignaciones de frecuencia pertinentes en este caso.</w:t>
            </w:r>
          </w:p>
          <w:p w14:paraId="3048FF66" w14:textId="77777777" w:rsidR="007F5588" w:rsidRPr="007F5588" w:rsidRDefault="007F5588" w:rsidP="00B53355">
            <w:pPr>
              <w:spacing w:before="40" w:after="40"/>
              <w:ind w:left="329"/>
              <w:rPr>
                <w:rFonts w:eastAsia="SimSun"/>
                <w:sz w:val="22"/>
                <w:lang w:val="es-ES" w:eastAsia="zh-CN"/>
              </w:rPr>
            </w:pPr>
            <w:r w:rsidRPr="007F5588">
              <w:rPr>
                <w:rFonts w:eastAsia="SimSun"/>
                <w:sz w:val="22"/>
                <w:lang w:val="es-ES" w:eastAsia="zh-CN"/>
              </w:rPr>
              <w:t>Se invita al UIT-R a llevar a cabo estudios, con carácter de urgencia, para determinar qué cambios de índole reglamentaria, si procede, deberían introducirse en el Reglamento de Radiocomunicaciones, en el marco del punto 7 del orden del día de la CMR-15, para abordar los temas anteriormente mencionados.</w:t>
            </w:r>
          </w:p>
          <w:p w14:paraId="7B7AB209" w14:textId="77777777" w:rsidR="007F5588" w:rsidRPr="007F5588" w:rsidRDefault="007F5588" w:rsidP="00B53355">
            <w:pPr>
              <w:spacing w:before="40" w:after="40"/>
              <w:ind w:left="329"/>
              <w:rPr>
                <w:rFonts w:eastAsia="SimSun"/>
                <w:sz w:val="22"/>
                <w:lang w:val="es-ES" w:eastAsia="zh-CN"/>
              </w:rPr>
            </w:pPr>
            <w:r w:rsidRPr="007F5588">
              <w:rPr>
                <w:rFonts w:eastAsia="SimSun"/>
                <w:sz w:val="22"/>
                <w:lang w:val="es-ES" w:eastAsia="zh-CN"/>
              </w:rPr>
              <w:t>Paralelamente a la actividad de estudio del UIT-R anteriormente mencionada, se invita a la Junta a considerar la elaboración de una Regla de Procedimiento que tenga en cuenta los resultados de los estudios del UIT-R, si están disponibles, para abarcar el periodo comprendido entre la CMR-12 y la CMR-15.»</w:t>
            </w:r>
          </w:p>
        </w:tc>
        <w:tc>
          <w:tcPr>
            <w:tcW w:w="1548" w:type="pct"/>
          </w:tcPr>
          <w:p w14:paraId="09FCAA5D" w14:textId="009E6252" w:rsidR="007F5588" w:rsidRPr="00D2027A" w:rsidRDefault="007F5588" w:rsidP="00B53355">
            <w:pPr>
              <w:pStyle w:val="Tabletext"/>
              <w:rPr>
                <w:rFonts w:asciiTheme="majorBidi" w:hAnsiTheme="majorBidi" w:cstheme="majorBidi"/>
                <w:lang w:val="es-ES"/>
              </w:rPr>
            </w:pPr>
            <w:r w:rsidRPr="00D2027A">
              <w:rPr>
                <w:rFonts w:asciiTheme="majorBidi" w:hAnsiTheme="majorBidi" w:cstheme="majorBidi"/>
                <w:lang w:val="es-ES"/>
              </w:rPr>
              <w:t>La RRB está estudiando este asunto</w:t>
            </w:r>
            <w:r w:rsidR="00536113">
              <w:rPr>
                <w:rFonts w:asciiTheme="majorBidi" w:hAnsiTheme="majorBidi" w:cstheme="majorBidi"/>
                <w:lang w:val="es-ES"/>
              </w:rPr>
              <w:t>.</w:t>
            </w:r>
          </w:p>
          <w:p w14:paraId="3D207572" w14:textId="572E9697" w:rsidR="007F5588" w:rsidRPr="00D2027A" w:rsidRDefault="007F5588" w:rsidP="00B53355">
            <w:pPr>
              <w:pStyle w:val="Tabletext"/>
              <w:rPr>
                <w:rFonts w:asciiTheme="majorBidi" w:hAnsiTheme="majorBidi" w:cstheme="majorBidi"/>
                <w:lang w:val="es-ES"/>
              </w:rPr>
            </w:pPr>
            <w:r w:rsidRPr="00266695">
              <w:rPr>
                <w:lang w:val="es-ES"/>
              </w:rPr>
              <w:t>El</w:t>
            </w:r>
            <w:r w:rsidRPr="00D2027A">
              <w:rPr>
                <w:rFonts w:asciiTheme="majorBidi" w:hAnsiTheme="majorBidi" w:cstheme="majorBidi"/>
                <w:lang w:val="es-ES"/>
              </w:rPr>
              <w:t xml:space="preserve"> UIT</w:t>
            </w:r>
            <w:r w:rsidRPr="00D2027A">
              <w:rPr>
                <w:rFonts w:asciiTheme="majorBidi" w:hAnsiTheme="majorBidi" w:cstheme="majorBidi"/>
                <w:lang w:val="es-ES"/>
              </w:rPr>
              <w:noBreakHyphen/>
              <w:t>R estudia este asunto (GT 4A, SC y RPC)</w:t>
            </w:r>
            <w:r w:rsidR="00536113">
              <w:rPr>
                <w:rFonts w:asciiTheme="majorBidi" w:hAnsiTheme="majorBidi" w:cstheme="majorBidi"/>
                <w:lang w:val="es-ES"/>
              </w:rPr>
              <w:t>.</w:t>
            </w:r>
          </w:p>
          <w:p w14:paraId="21467114" w14:textId="51115D25" w:rsidR="007F5588" w:rsidRPr="00D2027A" w:rsidRDefault="007F5588" w:rsidP="00B53355">
            <w:pPr>
              <w:pStyle w:val="Tabletext"/>
              <w:rPr>
                <w:rFonts w:asciiTheme="majorBidi" w:hAnsiTheme="majorBidi" w:cstheme="majorBidi"/>
                <w:lang w:val="es-ES"/>
              </w:rPr>
            </w:pPr>
            <w:r w:rsidRPr="00266695">
              <w:rPr>
                <w:lang w:val="es-ES"/>
              </w:rPr>
              <w:t>Doc</w:t>
            </w:r>
            <w:r w:rsidRPr="00D2027A">
              <w:rPr>
                <w:rFonts w:asciiTheme="majorBidi" w:hAnsiTheme="majorBidi" w:cstheme="majorBidi"/>
                <w:lang w:val="es-ES"/>
              </w:rPr>
              <w:t>. </w:t>
            </w:r>
            <w:hyperlink r:id="rId157" w:history="1">
              <w:r w:rsidRPr="00D2027A">
                <w:rPr>
                  <w:rStyle w:val="Hyperlink"/>
                  <w:rFonts w:asciiTheme="majorBidi" w:hAnsiTheme="majorBidi" w:cstheme="majorBidi"/>
                  <w:lang w:val="es-ES"/>
                </w:rPr>
                <w:t>CPM15-02/1</w:t>
              </w:r>
            </w:hyperlink>
            <w:r w:rsidRPr="00D2027A">
              <w:rPr>
                <w:rFonts w:asciiTheme="majorBidi" w:hAnsiTheme="majorBidi" w:cstheme="majorBidi"/>
                <w:lang w:val="es-ES"/>
              </w:rPr>
              <w:t xml:space="preserve"> (Capítulo 5)</w:t>
            </w:r>
          </w:p>
          <w:p w14:paraId="0F706402" w14:textId="77A74320" w:rsidR="007F5588" w:rsidRPr="00D2027A" w:rsidRDefault="007F5588" w:rsidP="00B53355">
            <w:pPr>
              <w:pStyle w:val="Tabletext"/>
              <w:rPr>
                <w:rFonts w:asciiTheme="majorBidi" w:hAnsiTheme="majorBidi" w:cstheme="majorBidi"/>
                <w:szCs w:val="24"/>
                <w:lang w:val="es-ES"/>
              </w:rPr>
            </w:pPr>
            <w:r w:rsidRPr="00266695">
              <w:rPr>
                <w:lang w:val="es-ES"/>
              </w:rPr>
              <w:t>Doc</w:t>
            </w:r>
            <w:r w:rsidRPr="00D2027A">
              <w:rPr>
                <w:rFonts w:asciiTheme="majorBidi" w:hAnsiTheme="majorBidi" w:cstheme="majorBidi"/>
                <w:lang w:val="es-ES"/>
              </w:rPr>
              <w:t xml:space="preserve">. </w:t>
            </w:r>
            <w:hyperlink r:id="rId158" w:history="1">
              <w:r w:rsidRPr="00D2027A">
                <w:rPr>
                  <w:rStyle w:val="Hyperlink"/>
                  <w:rFonts w:asciiTheme="majorBidi" w:hAnsiTheme="majorBidi" w:cstheme="majorBidi"/>
                  <w:lang w:val="es-ES"/>
                </w:rPr>
                <w:t>CPM15-02/2</w:t>
              </w:r>
            </w:hyperlink>
          </w:p>
        </w:tc>
      </w:tr>
      <w:tr w:rsidR="007F5588" w:rsidRPr="00D2027A" w14:paraId="22047348" w14:textId="77777777" w:rsidTr="00563650">
        <w:trPr>
          <w:cantSplit/>
          <w:jc w:val="center"/>
        </w:trPr>
        <w:tc>
          <w:tcPr>
            <w:tcW w:w="183" w:type="pct"/>
          </w:tcPr>
          <w:p w14:paraId="12C0567A" w14:textId="77777777" w:rsidR="007F5588" w:rsidRPr="00A616CA" w:rsidRDefault="007F5588" w:rsidP="00B53355">
            <w:pPr>
              <w:pStyle w:val="Tabletext"/>
              <w:rPr>
                <w:lang w:val="es-ES"/>
              </w:rPr>
            </w:pPr>
            <w:r w:rsidRPr="00A616CA">
              <w:rPr>
                <w:lang w:val="es-ES"/>
              </w:rPr>
              <w:lastRenderedPageBreak/>
              <w:t>44</w:t>
            </w:r>
          </w:p>
        </w:tc>
        <w:tc>
          <w:tcPr>
            <w:tcW w:w="434" w:type="pct"/>
          </w:tcPr>
          <w:p w14:paraId="77C2512C" w14:textId="77777777" w:rsidR="007F5588" w:rsidRPr="00A616CA" w:rsidRDefault="007F5588" w:rsidP="00B53355">
            <w:pPr>
              <w:pStyle w:val="Tabletext"/>
              <w:rPr>
                <w:lang w:val="es-ES"/>
              </w:rPr>
            </w:pPr>
            <w:r w:rsidRPr="00A616CA">
              <w:rPr>
                <w:lang w:val="es-ES"/>
              </w:rPr>
              <w:t>CMR-12</w:t>
            </w:r>
          </w:p>
        </w:tc>
        <w:tc>
          <w:tcPr>
            <w:tcW w:w="523" w:type="pct"/>
          </w:tcPr>
          <w:p w14:paraId="43049815" w14:textId="6D2C0022" w:rsidR="007F5588" w:rsidRPr="00D2027A" w:rsidRDefault="007F5588" w:rsidP="00B53355">
            <w:pPr>
              <w:pStyle w:val="Tabletext"/>
              <w:rPr>
                <w:rFonts w:asciiTheme="majorBidi" w:hAnsiTheme="majorBidi" w:cstheme="majorBidi"/>
                <w:bCs/>
                <w:szCs w:val="24"/>
                <w:lang w:val="es-ES"/>
              </w:rPr>
            </w:pPr>
            <w:r w:rsidRPr="00A743EE">
              <w:rPr>
                <w:lang w:val="es-ES"/>
              </w:rPr>
              <w:t>13ª</w:t>
            </w:r>
            <w:r w:rsidRPr="00D2027A">
              <w:rPr>
                <w:rFonts w:asciiTheme="majorBidi" w:hAnsiTheme="majorBidi" w:cstheme="majorBidi"/>
                <w:szCs w:val="24"/>
                <w:lang w:val="es-ES"/>
              </w:rPr>
              <w:t xml:space="preserve"> Plenaria</w:t>
            </w:r>
            <w:r>
              <w:rPr>
                <w:rFonts w:asciiTheme="majorBidi" w:hAnsiTheme="majorBidi" w:cstheme="majorBidi"/>
                <w:szCs w:val="24"/>
                <w:lang w:val="es-ES"/>
              </w:rPr>
              <w:br/>
            </w:r>
            <w:hyperlink r:id="rId159" w:history="1">
              <w:r w:rsidRPr="00D2027A">
                <w:rPr>
                  <w:rStyle w:val="Hyperlink"/>
                  <w:rFonts w:asciiTheme="majorBidi" w:hAnsiTheme="majorBidi" w:cstheme="majorBidi"/>
                  <w:szCs w:val="24"/>
                  <w:lang w:val="es-ES"/>
                </w:rPr>
                <w:t>Doc. 554</w:t>
              </w:r>
            </w:hyperlink>
          </w:p>
        </w:tc>
        <w:tc>
          <w:tcPr>
            <w:tcW w:w="2312" w:type="pct"/>
          </w:tcPr>
          <w:p w14:paraId="224B3BAB" w14:textId="7E58D7B6" w:rsidR="007F5588" w:rsidRPr="007F5588" w:rsidRDefault="007F5588" w:rsidP="00B53355">
            <w:pPr>
              <w:spacing w:before="40" w:after="40"/>
              <w:rPr>
                <w:sz w:val="22"/>
                <w:lang w:val="es-ES"/>
              </w:rPr>
            </w:pPr>
            <w:r w:rsidRPr="007F5588">
              <w:rPr>
                <w:sz w:val="22"/>
                <w:lang w:val="es-ES"/>
              </w:rPr>
              <w:t>9.2</w:t>
            </w:r>
            <w:r w:rsidRPr="007F5588">
              <w:rPr>
                <w:sz w:val="22"/>
                <w:lang w:val="es-ES"/>
              </w:rPr>
              <w:tab/>
              <w:t>El segundo problema son las medidas adoptadas para evitar que se utilice un único vehículo especial para poner en servicio asignaciones de frecuencias en múltiples posiciones orbitales. La Comisión ha llegado a la siguiente conclusión sobre el particular y solicita a la Plenaria que la aprueba como decisión de la Conferencia:</w:t>
            </w:r>
          </w:p>
          <w:p w14:paraId="3B3CC106" w14:textId="77777777" w:rsidR="007F5588" w:rsidRPr="007F5588" w:rsidRDefault="007F5588" w:rsidP="00B53355">
            <w:pPr>
              <w:spacing w:before="40" w:after="40"/>
              <w:rPr>
                <w:sz w:val="22"/>
                <w:lang w:val="es-ES"/>
              </w:rPr>
            </w:pPr>
            <w:r w:rsidRPr="007F5588">
              <w:rPr>
                <w:sz w:val="22"/>
                <w:lang w:val="es-ES"/>
              </w:rPr>
              <w:t xml:space="preserve">«La CMR-12 reconoce que el objetivo de esas nuevas disposiciones no era abordar la cuestión de la utilización de una estación espacial para poner en servicio asignaciones de frecuencias en diferentes posiciones orbitales dentro de un breve plazo de tiempo, y que el análisis de dicha cuestión exige llevar a cabo estudios. La CMR-12 ha adoptado medidas importantes al respecto modificando las disposiciones sobre puesta en servicio y suspensión, así como el número </w:t>
            </w:r>
            <w:r w:rsidRPr="007F5588">
              <w:rPr>
                <w:b/>
                <w:bCs/>
                <w:sz w:val="22"/>
                <w:lang w:val="es-ES"/>
              </w:rPr>
              <w:t>13.6</w:t>
            </w:r>
            <w:r w:rsidRPr="007F5588">
              <w:rPr>
                <w:sz w:val="22"/>
                <w:lang w:val="es-ES"/>
              </w:rPr>
              <w:t>. Al examinar esta cuestión, cabe destacar la existencia de motivos legítimos de una administración o de un operador para tener que desplazar un vehículo espacial de una posición orbital a otra, y debe asegurarse que no se restringe la maniobrabilidad y gestión legítimas de las flotas. No obstante, se alienta a las administraciones a examinar sus propias disposiciones reglamentarias nacionales para velar por que las posibilidades de prácticas abusivas se reduzcan al mínimo. Hasta que concluyan los estudios del UIT-R, si una administración pone en servicio asignaciones de frecuencia en una determinada posición orbital utilizando un satélite que ya está en órbita, la BR deberá consultar con esa administración la posición orbital/las asignaciones de frecuencia puestas anteriormente en servicio con ese satélite y facilitar esa información.»</w:t>
            </w:r>
          </w:p>
          <w:p w14:paraId="24C5DBF9" w14:textId="77777777" w:rsidR="007F5588" w:rsidRPr="007F5588" w:rsidRDefault="007F5588" w:rsidP="00B53355">
            <w:pPr>
              <w:spacing w:before="40" w:after="40"/>
              <w:jc w:val="both"/>
              <w:rPr>
                <w:rFonts w:asciiTheme="majorBidi" w:hAnsiTheme="majorBidi" w:cstheme="majorBidi"/>
                <w:sz w:val="22"/>
                <w:lang w:val="es-ES"/>
              </w:rPr>
            </w:pPr>
            <w:r w:rsidRPr="007F5588">
              <w:rPr>
                <w:rFonts w:asciiTheme="majorBidi" w:hAnsiTheme="majorBidi" w:cstheme="majorBidi"/>
                <w:sz w:val="22"/>
                <w:lang w:val="es-ES"/>
              </w:rPr>
              <w:t>…</w:t>
            </w:r>
          </w:p>
          <w:p w14:paraId="55949C4C" w14:textId="68FDB33B" w:rsidR="007F5588" w:rsidRPr="007F5588" w:rsidRDefault="007F5588" w:rsidP="00B53355">
            <w:pPr>
              <w:spacing w:before="40" w:after="40"/>
              <w:rPr>
                <w:sz w:val="22"/>
                <w:lang w:val="es-ES"/>
              </w:rPr>
            </w:pPr>
            <w:r w:rsidRPr="007F5588">
              <w:rPr>
                <w:sz w:val="22"/>
                <w:lang w:val="es-ES"/>
              </w:rPr>
              <w:t>9.13</w:t>
            </w:r>
            <w:r w:rsidRPr="007F5588">
              <w:rPr>
                <w:sz w:val="22"/>
                <w:lang w:val="es-ES"/>
              </w:rPr>
              <w:tab/>
              <w:t xml:space="preserve">El </w:t>
            </w:r>
            <w:r w:rsidRPr="007F5588">
              <w:rPr>
                <w:b/>
                <w:bCs/>
                <w:sz w:val="22"/>
                <w:lang w:val="es-ES"/>
              </w:rPr>
              <w:t>Presidente</w:t>
            </w:r>
            <w:r w:rsidRPr="007F5588">
              <w:rPr>
                <w:sz w:val="22"/>
                <w:lang w:val="es-ES"/>
              </w:rPr>
              <w:t xml:space="preserve">, en vista de que no es posible llegar a un acuerdo sobre las modificaciones propuestas, propone que se aprueben sin modificaciones los dos textos presentados en el </w:t>
            </w:r>
            <w:hyperlink r:id="rId160" w:history="1">
              <w:r w:rsidRPr="007F5588">
                <w:rPr>
                  <w:rStyle w:val="Hyperlink"/>
                  <w:sz w:val="22"/>
                  <w:lang w:val="es-ES"/>
                </w:rPr>
                <w:t>Documento 523</w:t>
              </w:r>
            </w:hyperlink>
            <w:r w:rsidRPr="007F5588">
              <w:rPr>
                <w:sz w:val="22"/>
                <w:lang w:val="es-ES"/>
              </w:rPr>
              <w:t xml:space="preserve"> como decisiones de la Conferencia.</w:t>
            </w:r>
          </w:p>
          <w:p w14:paraId="413CFC55" w14:textId="77777777" w:rsidR="007F5588" w:rsidRPr="007F5588" w:rsidRDefault="007F5588" w:rsidP="00B53355">
            <w:pPr>
              <w:spacing w:before="40" w:after="40"/>
              <w:rPr>
                <w:sz w:val="22"/>
                <w:lang w:val="es-ES"/>
              </w:rPr>
            </w:pPr>
            <w:r w:rsidRPr="007F5588">
              <w:rPr>
                <w:sz w:val="22"/>
                <w:lang w:val="es-ES"/>
              </w:rPr>
              <w:t>9.14</w:t>
            </w:r>
            <w:r w:rsidRPr="007F5588">
              <w:rPr>
                <w:sz w:val="22"/>
                <w:lang w:val="es-ES"/>
              </w:rPr>
              <w:tab/>
              <w:t xml:space="preserve">Así se </w:t>
            </w:r>
            <w:r w:rsidRPr="007F5588">
              <w:rPr>
                <w:b/>
                <w:sz w:val="22"/>
                <w:lang w:val="es-ES"/>
              </w:rPr>
              <w:t>acuerda</w:t>
            </w:r>
            <w:r w:rsidRPr="007F5588">
              <w:rPr>
                <w:sz w:val="22"/>
                <w:lang w:val="es-ES"/>
              </w:rPr>
              <w:t>.</w:t>
            </w:r>
          </w:p>
        </w:tc>
        <w:tc>
          <w:tcPr>
            <w:tcW w:w="1548" w:type="pct"/>
          </w:tcPr>
          <w:p w14:paraId="2F92837E" w14:textId="31584A51" w:rsidR="007F5588" w:rsidRPr="00D2027A" w:rsidRDefault="007F5588" w:rsidP="00B53355">
            <w:pPr>
              <w:pStyle w:val="Tabletext"/>
              <w:rPr>
                <w:rFonts w:asciiTheme="majorBidi" w:hAnsiTheme="majorBidi" w:cstheme="majorBidi"/>
                <w:lang w:val="es-ES"/>
              </w:rPr>
            </w:pPr>
            <w:r w:rsidRPr="00266695">
              <w:rPr>
                <w:lang w:val="es-ES"/>
              </w:rPr>
              <w:t>El</w:t>
            </w:r>
            <w:r w:rsidRPr="00D2027A">
              <w:rPr>
                <w:rFonts w:asciiTheme="majorBidi" w:hAnsiTheme="majorBidi" w:cstheme="majorBidi"/>
                <w:lang w:val="es-ES"/>
              </w:rPr>
              <w:t xml:space="preserve"> UIT-R examina el asunto (GT 4A, SC y RPC)</w:t>
            </w:r>
            <w:r w:rsidR="00536113">
              <w:rPr>
                <w:rFonts w:asciiTheme="majorBidi" w:hAnsiTheme="majorBidi" w:cstheme="majorBidi"/>
                <w:lang w:val="es-ES"/>
              </w:rPr>
              <w:t>.</w:t>
            </w:r>
          </w:p>
          <w:p w14:paraId="22CB505E" w14:textId="6F44E197" w:rsidR="007F5588" w:rsidRPr="00D2027A" w:rsidRDefault="007F5588" w:rsidP="00B53355">
            <w:pPr>
              <w:pStyle w:val="Tabletext"/>
              <w:rPr>
                <w:rFonts w:asciiTheme="majorBidi" w:hAnsiTheme="majorBidi" w:cstheme="majorBidi"/>
                <w:lang w:val="es-ES"/>
              </w:rPr>
            </w:pPr>
            <w:r w:rsidRPr="00266695">
              <w:rPr>
                <w:lang w:val="es-ES"/>
              </w:rPr>
              <w:t>Doc</w:t>
            </w:r>
            <w:r w:rsidRPr="00D2027A">
              <w:rPr>
                <w:rFonts w:asciiTheme="majorBidi" w:hAnsiTheme="majorBidi" w:cstheme="majorBidi"/>
                <w:lang w:val="es-ES"/>
              </w:rPr>
              <w:t>. </w:t>
            </w:r>
            <w:hyperlink r:id="rId161" w:history="1">
              <w:r w:rsidRPr="00D2027A">
                <w:rPr>
                  <w:rStyle w:val="Hyperlink"/>
                  <w:rFonts w:asciiTheme="majorBidi" w:hAnsiTheme="majorBidi" w:cstheme="majorBidi"/>
                  <w:lang w:val="es-ES"/>
                </w:rPr>
                <w:t>CPM15-02/1</w:t>
              </w:r>
            </w:hyperlink>
            <w:r w:rsidRPr="00D2027A">
              <w:rPr>
                <w:rFonts w:asciiTheme="majorBidi" w:hAnsiTheme="majorBidi" w:cstheme="majorBidi"/>
                <w:lang w:val="es-ES"/>
              </w:rPr>
              <w:t xml:space="preserve"> (Capítulo 5)</w:t>
            </w:r>
          </w:p>
          <w:p w14:paraId="1B302B93" w14:textId="0648AFA3" w:rsidR="007F5588" w:rsidRPr="00D2027A" w:rsidRDefault="007F5588" w:rsidP="00B53355">
            <w:pPr>
              <w:pStyle w:val="Tabletext"/>
              <w:rPr>
                <w:rFonts w:asciiTheme="majorBidi" w:hAnsiTheme="majorBidi" w:cstheme="majorBidi"/>
                <w:szCs w:val="24"/>
                <w:lang w:val="es-ES"/>
              </w:rPr>
            </w:pPr>
            <w:r w:rsidRPr="00266695">
              <w:rPr>
                <w:lang w:val="es-ES"/>
              </w:rPr>
              <w:t>Doc</w:t>
            </w:r>
            <w:r w:rsidRPr="00D2027A">
              <w:rPr>
                <w:rFonts w:asciiTheme="majorBidi" w:hAnsiTheme="majorBidi" w:cstheme="majorBidi"/>
                <w:lang w:val="es-ES"/>
              </w:rPr>
              <w:t>. </w:t>
            </w:r>
            <w:hyperlink r:id="rId162" w:history="1">
              <w:r w:rsidRPr="00D2027A">
                <w:rPr>
                  <w:rStyle w:val="Hyperlink"/>
                  <w:rFonts w:asciiTheme="majorBidi" w:hAnsiTheme="majorBidi" w:cstheme="majorBidi"/>
                  <w:lang w:val="es-ES"/>
                </w:rPr>
                <w:t>CPM15-02/2</w:t>
              </w:r>
            </w:hyperlink>
          </w:p>
        </w:tc>
      </w:tr>
      <w:tr w:rsidR="007F5588" w:rsidRPr="00D2027A" w14:paraId="3A16A02B" w14:textId="77777777" w:rsidTr="00563650">
        <w:trPr>
          <w:cantSplit/>
          <w:jc w:val="center"/>
        </w:trPr>
        <w:tc>
          <w:tcPr>
            <w:tcW w:w="183" w:type="pct"/>
          </w:tcPr>
          <w:p w14:paraId="1FC75292" w14:textId="77777777" w:rsidR="007F5588" w:rsidRPr="00A616CA" w:rsidRDefault="007F5588" w:rsidP="00B53355">
            <w:pPr>
              <w:pStyle w:val="Tabletext"/>
              <w:rPr>
                <w:lang w:val="es-ES"/>
              </w:rPr>
            </w:pPr>
            <w:r w:rsidRPr="00A616CA">
              <w:rPr>
                <w:lang w:val="es-ES"/>
              </w:rPr>
              <w:lastRenderedPageBreak/>
              <w:t>45</w:t>
            </w:r>
          </w:p>
        </w:tc>
        <w:tc>
          <w:tcPr>
            <w:tcW w:w="434" w:type="pct"/>
          </w:tcPr>
          <w:p w14:paraId="3CB77478" w14:textId="74CA259C" w:rsidR="007F5588" w:rsidRPr="00A616CA" w:rsidRDefault="007F5588" w:rsidP="00B53355">
            <w:pPr>
              <w:pStyle w:val="Tabletext"/>
              <w:rPr>
                <w:lang w:val="es-ES"/>
              </w:rPr>
            </w:pPr>
            <w:r w:rsidRPr="00A616CA">
              <w:rPr>
                <w:lang w:val="es-ES"/>
              </w:rPr>
              <w:t>CMR-12</w:t>
            </w:r>
          </w:p>
        </w:tc>
        <w:tc>
          <w:tcPr>
            <w:tcW w:w="523" w:type="pct"/>
          </w:tcPr>
          <w:p w14:paraId="31A8687B" w14:textId="57560654" w:rsidR="007F5588" w:rsidRPr="00D2027A" w:rsidRDefault="007F5588" w:rsidP="00B53355">
            <w:pPr>
              <w:pStyle w:val="Tabletext"/>
              <w:rPr>
                <w:rFonts w:asciiTheme="majorBidi" w:hAnsiTheme="majorBidi" w:cstheme="majorBidi"/>
                <w:bCs/>
                <w:szCs w:val="24"/>
                <w:lang w:val="es-ES"/>
              </w:rPr>
            </w:pPr>
            <w:r w:rsidRPr="00A743EE">
              <w:rPr>
                <w:lang w:val="es-ES"/>
              </w:rPr>
              <w:t>13ª</w:t>
            </w:r>
            <w:r w:rsidRPr="00D2027A">
              <w:rPr>
                <w:rFonts w:asciiTheme="majorBidi" w:hAnsiTheme="majorBidi" w:cstheme="majorBidi"/>
                <w:szCs w:val="24"/>
                <w:lang w:val="es-ES"/>
              </w:rPr>
              <w:t xml:space="preserve"> Plenaria</w:t>
            </w:r>
            <w:r>
              <w:rPr>
                <w:rFonts w:asciiTheme="majorBidi" w:hAnsiTheme="majorBidi" w:cstheme="majorBidi"/>
                <w:szCs w:val="24"/>
                <w:lang w:val="es-ES"/>
              </w:rPr>
              <w:br/>
            </w:r>
            <w:hyperlink r:id="rId163" w:history="1">
              <w:r w:rsidRPr="00D2027A">
                <w:rPr>
                  <w:rStyle w:val="Hyperlink"/>
                  <w:rFonts w:asciiTheme="majorBidi" w:hAnsiTheme="majorBidi" w:cstheme="majorBidi"/>
                  <w:szCs w:val="24"/>
                  <w:lang w:val="es-ES"/>
                </w:rPr>
                <w:t>Doc. 554</w:t>
              </w:r>
            </w:hyperlink>
          </w:p>
        </w:tc>
        <w:tc>
          <w:tcPr>
            <w:tcW w:w="2312" w:type="pct"/>
          </w:tcPr>
          <w:p w14:paraId="24BCFF97" w14:textId="2327E02B" w:rsidR="007F5588" w:rsidRPr="007F5588" w:rsidRDefault="007F5588" w:rsidP="00B53355">
            <w:pPr>
              <w:spacing w:before="40" w:after="40"/>
              <w:rPr>
                <w:sz w:val="22"/>
                <w:lang w:val="es-ES"/>
              </w:rPr>
            </w:pPr>
            <w:r w:rsidRPr="007F5588">
              <w:rPr>
                <w:sz w:val="22"/>
                <w:lang w:val="es-ES"/>
              </w:rPr>
              <w:t>11.6</w:t>
            </w:r>
            <w:r w:rsidRPr="007F5588">
              <w:rPr>
                <w:sz w:val="22"/>
                <w:lang w:val="es-ES"/>
              </w:rPr>
              <w:tab/>
              <w:t xml:space="preserve">El </w:t>
            </w:r>
            <w:r w:rsidRPr="007F5588">
              <w:rPr>
                <w:b/>
                <w:bCs/>
                <w:sz w:val="22"/>
                <w:lang w:val="es-ES"/>
              </w:rPr>
              <w:t xml:space="preserve">representante de la BR </w:t>
            </w:r>
            <w:r w:rsidRPr="007F5588">
              <w:rPr>
                <w:sz w:val="22"/>
                <w:lang w:val="es-ES"/>
              </w:rPr>
              <w:t xml:space="preserve">entiende que la Plenaria ha decidido que la Resolución </w:t>
            </w:r>
            <w:r w:rsidRPr="007F5588">
              <w:rPr>
                <w:b/>
                <w:bCs/>
                <w:sz w:val="22"/>
                <w:lang w:val="es-ES"/>
              </w:rPr>
              <w:t>553 [COM5/7] (CMR</w:t>
            </w:r>
            <w:r w:rsidRPr="007F5588">
              <w:rPr>
                <w:b/>
                <w:bCs/>
                <w:sz w:val="22"/>
                <w:lang w:val="es-ES"/>
              </w:rPr>
              <w:noBreakHyphen/>
              <w:t>12)</w:t>
            </w:r>
            <w:r w:rsidRPr="007F5588">
              <w:rPr>
                <w:sz w:val="22"/>
                <w:lang w:val="es-ES"/>
              </w:rPr>
              <w:t>, que entrará en vigor el 18 de febrero de 2012, se aplicará con efecto retroactivo a las notificaciones efectuadas para la banda 21,4-22 GHz antes de esa fecha, en particular las solicitudes de coordinación presentadas antes del 18 de febrero de 2012 a las que, en teoría, se aplicaría el Reglamento en vigor en la fecha de recepción de esas solicitudes de coordinación. También entiende que los criterios identificados en el Anexo 2 al Adjunto a la Resolución</w:t>
            </w:r>
            <w:r w:rsidR="005E3C9F">
              <w:rPr>
                <w:sz w:val="22"/>
                <w:lang w:val="es-ES"/>
              </w:rPr>
              <w:t> </w:t>
            </w:r>
            <w:r w:rsidR="005E3C9F" w:rsidRPr="005E3C9F">
              <w:rPr>
                <w:b/>
                <w:bCs/>
                <w:sz w:val="22"/>
                <w:lang w:val="es-ES"/>
              </w:rPr>
              <w:t>553 [</w:t>
            </w:r>
            <w:r w:rsidRPr="005E3C9F">
              <w:rPr>
                <w:b/>
                <w:bCs/>
                <w:sz w:val="22"/>
                <w:lang w:val="es-ES"/>
              </w:rPr>
              <w:t>COM5/7</w:t>
            </w:r>
            <w:r w:rsidR="005E3C9F" w:rsidRPr="005E3C9F">
              <w:rPr>
                <w:b/>
                <w:bCs/>
                <w:sz w:val="22"/>
                <w:lang w:val="es-ES"/>
              </w:rPr>
              <w:t>]</w:t>
            </w:r>
            <w:r w:rsidRPr="007F5588">
              <w:rPr>
                <w:sz w:val="22"/>
                <w:lang w:val="es-ES"/>
              </w:rPr>
              <w:t xml:space="preserve"> se aplicarán únicamente a partir del 18 de febrero de 2012. No obstante, como la Conferencia ha decidido aplicar el procedimiento especial con efecto retroactivo, la Oficina de Radiocomunicaciones tendrá entonces que aplicar la nueva Resolución retroactivamente a las solicitudes de coordinación.</w:t>
            </w:r>
          </w:p>
          <w:p w14:paraId="01A61395" w14:textId="4DB2D7E6" w:rsidR="007F5588" w:rsidRPr="007F5588" w:rsidRDefault="007F5588" w:rsidP="00B53355">
            <w:pPr>
              <w:spacing w:before="40" w:after="40"/>
              <w:rPr>
                <w:sz w:val="22"/>
                <w:lang w:val="es-ES"/>
              </w:rPr>
            </w:pPr>
            <w:r w:rsidRPr="007F5588">
              <w:rPr>
                <w:sz w:val="22"/>
                <w:lang w:val="es-ES"/>
              </w:rPr>
              <w:t>11.7</w:t>
            </w:r>
            <w:r w:rsidRPr="007F5588">
              <w:rPr>
                <w:sz w:val="22"/>
                <w:lang w:val="es-ES"/>
              </w:rPr>
              <w:tab/>
              <w:t xml:space="preserve">Habida cuenta de las explicaciones facilitadas, se </w:t>
            </w:r>
            <w:r w:rsidRPr="007F5588">
              <w:rPr>
                <w:b/>
                <w:bCs/>
                <w:sz w:val="22"/>
                <w:lang w:val="es-ES"/>
              </w:rPr>
              <w:t>aprueba</w:t>
            </w:r>
            <w:r w:rsidRPr="007F5588">
              <w:rPr>
                <w:sz w:val="22"/>
                <w:lang w:val="es-ES"/>
              </w:rPr>
              <w:t xml:space="preserve"> en segunda lectura la cuadragésimo segunda serie de textos sometidos por la Comisión de Redacción (B42) (</w:t>
            </w:r>
            <w:hyperlink r:id="rId164" w:history="1">
              <w:r w:rsidRPr="007F5588">
                <w:rPr>
                  <w:rStyle w:val="Hyperlink"/>
                  <w:sz w:val="22"/>
                  <w:lang w:val="es-ES"/>
                </w:rPr>
                <w:t>Documento 532</w:t>
              </w:r>
            </w:hyperlink>
            <w:r w:rsidRPr="007F5588">
              <w:rPr>
                <w:sz w:val="22"/>
                <w:lang w:val="es-ES"/>
              </w:rPr>
              <w:t>), enmendada en primera lectura.</w:t>
            </w:r>
          </w:p>
        </w:tc>
        <w:tc>
          <w:tcPr>
            <w:tcW w:w="1548" w:type="pct"/>
          </w:tcPr>
          <w:p w14:paraId="3FDA7065" w14:textId="36519831" w:rsidR="007F5588" w:rsidRPr="00266695" w:rsidRDefault="007F5588" w:rsidP="00B53355">
            <w:pPr>
              <w:pStyle w:val="Tabletext"/>
              <w:rPr>
                <w:lang w:val="es-ES"/>
              </w:rPr>
            </w:pPr>
          </w:p>
        </w:tc>
      </w:tr>
      <w:tr w:rsidR="00967792" w:rsidRPr="00D2027A" w14:paraId="4D00527E" w14:textId="77777777" w:rsidTr="00924C8B">
        <w:trPr>
          <w:jc w:val="center"/>
        </w:trPr>
        <w:tc>
          <w:tcPr>
            <w:tcW w:w="183" w:type="pct"/>
          </w:tcPr>
          <w:p w14:paraId="110B646C" w14:textId="77777777" w:rsidR="00967792" w:rsidRPr="00A616CA" w:rsidRDefault="00967792" w:rsidP="00B53355">
            <w:pPr>
              <w:pStyle w:val="Tabletext"/>
              <w:rPr>
                <w:lang w:val="es-ES"/>
              </w:rPr>
            </w:pPr>
            <w:r w:rsidRPr="00A616CA">
              <w:rPr>
                <w:lang w:val="es-ES"/>
              </w:rPr>
              <w:t>46</w:t>
            </w:r>
          </w:p>
        </w:tc>
        <w:tc>
          <w:tcPr>
            <w:tcW w:w="434" w:type="pct"/>
          </w:tcPr>
          <w:p w14:paraId="7D182BB1" w14:textId="333FD23E" w:rsidR="00967792" w:rsidRPr="00A616CA" w:rsidRDefault="00967792" w:rsidP="00B53355">
            <w:pPr>
              <w:pStyle w:val="Tabletext"/>
              <w:rPr>
                <w:lang w:val="es-ES"/>
              </w:rPr>
            </w:pPr>
            <w:r w:rsidRPr="00A616CA">
              <w:rPr>
                <w:lang w:val="es-ES"/>
              </w:rPr>
              <w:t>CMR-12</w:t>
            </w:r>
          </w:p>
        </w:tc>
        <w:tc>
          <w:tcPr>
            <w:tcW w:w="523" w:type="pct"/>
          </w:tcPr>
          <w:p w14:paraId="7B9711EB" w14:textId="5F39EB6C" w:rsidR="00967792" w:rsidRPr="00D2027A" w:rsidRDefault="00967792" w:rsidP="00B53355">
            <w:pPr>
              <w:pStyle w:val="Tabletext"/>
              <w:rPr>
                <w:rFonts w:asciiTheme="majorBidi" w:hAnsiTheme="majorBidi" w:cstheme="majorBidi"/>
                <w:szCs w:val="24"/>
                <w:lang w:val="es-ES"/>
              </w:rPr>
            </w:pPr>
            <w:r w:rsidRPr="005E3C9F">
              <w:rPr>
                <w:lang w:val="es-ES"/>
              </w:rPr>
              <w:t>14ª</w:t>
            </w:r>
            <w:r w:rsidRPr="00D2027A">
              <w:rPr>
                <w:rFonts w:asciiTheme="majorBidi" w:hAnsiTheme="majorBidi" w:cstheme="majorBidi"/>
                <w:bCs/>
                <w:szCs w:val="24"/>
                <w:lang w:val="es-ES"/>
              </w:rPr>
              <w:t xml:space="preserve"> Plenaria</w:t>
            </w:r>
            <w:r w:rsidR="005E3C9F">
              <w:rPr>
                <w:rFonts w:asciiTheme="majorBidi" w:hAnsiTheme="majorBidi" w:cstheme="majorBidi"/>
                <w:bCs/>
                <w:szCs w:val="24"/>
                <w:lang w:val="es-ES"/>
              </w:rPr>
              <w:br/>
            </w:r>
            <w:hyperlink r:id="rId165" w:history="1">
              <w:r w:rsidRPr="00D2027A">
                <w:rPr>
                  <w:rStyle w:val="Hyperlink"/>
                  <w:rFonts w:asciiTheme="majorBidi" w:hAnsiTheme="majorBidi" w:cstheme="majorBidi"/>
                  <w:bCs/>
                  <w:szCs w:val="24"/>
                  <w:lang w:val="es-ES"/>
                </w:rPr>
                <w:t>Doc. 555</w:t>
              </w:r>
            </w:hyperlink>
          </w:p>
        </w:tc>
        <w:tc>
          <w:tcPr>
            <w:tcW w:w="2312" w:type="pct"/>
          </w:tcPr>
          <w:p w14:paraId="6D974F37" w14:textId="7864D2EF" w:rsidR="00967792" w:rsidRPr="005E3C9F" w:rsidRDefault="00967792" w:rsidP="00B53355">
            <w:pPr>
              <w:spacing w:before="40" w:after="40"/>
              <w:rPr>
                <w:sz w:val="22"/>
                <w:lang w:val="es-ES"/>
              </w:rPr>
            </w:pPr>
            <w:r w:rsidRPr="005E3C9F">
              <w:rPr>
                <w:sz w:val="22"/>
                <w:lang w:val="es-ES"/>
              </w:rPr>
              <w:t>1.1</w:t>
            </w:r>
            <w:r w:rsidRPr="005E3C9F">
              <w:rPr>
                <w:sz w:val="22"/>
                <w:lang w:val="es-ES"/>
              </w:rPr>
              <w:tab/>
              <w:t xml:space="preserve">El </w:t>
            </w:r>
            <w:r w:rsidRPr="005E3C9F">
              <w:rPr>
                <w:b/>
                <w:bCs/>
                <w:sz w:val="22"/>
                <w:lang w:val="es-ES"/>
              </w:rPr>
              <w:t>Presidente</w:t>
            </w:r>
            <w:r w:rsidRPr="005E3C9F">
              <w:rPr>
                <w:sz w:val="22"/>
                <w:lang w:val="es-ES"/>
              </w:rPr>
              <w:t xml:space="preserve"> dice que, tras una evaluación realizada por el Director de la BR sobre las repercusiones financieras que supondría revisar las distintas versiones del Reglamento de Radiocomunicaciones, se propone que la Conferencia apruebe la siguiente medida alternativa (véase el </w:t>
            </w:r>
            <w:hyperlink r:id="rId166">
              <w:r w:rsidRPr="005E3C9F">
                <w:rPr>
                  <w:rStyle w:val="Hyperlink"/>
                  <w:sz w:val="22"/>
                  <w:lang w:val="es-ES"/>
                </w:rPr>
                <w:t>Documento 544</w:t>
              </w:r>
            </w:hyperlink>
            <w:r w:rsidRPr="005E3C9F">
              <w:rPr>
                <w:sz w:val="22"/>
                <w:lang w:val="es-ES"/>
              </w:rPr>
              <w:t xml:space="preserve">) en relación con el </w:t>
            </w:r>
            <w:hyperlink r:id="rId167">
              <w:r w:rsidRPr="005E3C9F">
                <w:rPr>
                  <w:rStyle w:val="Hyperlink"/>
                  <w:sz w:val="22"/>
                  <w:lang w:val="es-ES"/>
                </w:rPr>
                <w:t>Documento 521</w:t>
              </w:r>
            </w:hyperlink>
            <w:r w:rsidRPr="005E3C9F">
              <w:rPr>
                <w:sz w:val="22"/>
                <w:lang w:val="es-ES"/>
              </w:rPr>
              <w:t>:</w:t>
            </w:r>
          </w:p>
          <w:p w14:paraId="60C6F215" w14:textId="77777777" w:rsidR="00967792" w:rsidRPr="005E3C9F" w:rsidRDefault="00967792" w:rsidP="00B53355">
            <w:pPr>
              <w:spacing w:before="40" w:after="40"/>
              <w:ind w:left="329" w:hanging="329"/>
              <w:rPr>
                <w:sz w:val="22"/>
                <w:lang w:val="es-ES"/>
              </w:rPr>
            </w:pPr>
            <w:r w:rsidRPr="005E3C9F">
              <w:rPr>
                <w:sz w:val="22"/>
                <w:lang w:val="es-ES"/>
              </w:rPr>
              <w:tab/>
              <w:t>«Para salvaguardar la solemnidad y la precisión de las versiones en árabe, chino y ruso del RR, la CMR-12 invita a los departamentos de la UIT y a las administraciones interesadas a que lleven a cabo conjuntamente una revisión exhaustiva y minuciosa de estas versiones con objeto de lograr un completo alineamiento de las mismas en la edición del Reglamento de Radiocomunicaciones que se publicará tras la CMR-15.»</w:t>
            </w:r>
          </w:p>
          <w:p w14:paraId="4B41E845" w14:textId="77777777" w:rsidR="00967792" w:rsidRPr="005E3C9F" w:rsidRDefault="00967792" w:rsidP="00B53355">
            <w:pPr>
              <w:spacing w:before="40" w:after="40"/>
              <w:rPr>
                <w:sz w:val="22"/>
                <w:lang w:val="es-ES"/>
              </w:rPr>
            </w:pPr>
            <w:r w:rsidRPr="005E3C9F">
              <w:rPr>
                <w:sz w:val="22"/>
                <w:lang w:val="es-ES"/>
              </w:rPr>
              <w:t>1.2</w:t>
            </w:r>
            <w:r w:rsidRPr="005E3C9F">
              <w:rPr>
                <w:sz w:val="22"/>
                <w:lang w:val="es-ES"/>
              </w:rPr>
              <w:tab/>
              <w:t xml:space="preserve">El </w:t>
            </w:r>
            <w:r w:rsidRPr="005E3C9F">
              <w:rPr>
                <w:b/>
                <w:bCs/>
                <w:sz w:val="22"/>
                <w:lang w:val="es-ES"/>
              </w:rPr>
              <w:t>delegado de China</w:t>
            </w:r>
            <w:r w:rsidRPr="005E3C9F">
              <w:rPr>
                <w:sz w:val="22"/>
                <w:lang w:val="es-ES"/>
              </w:rPr>
              <w:t xml:space="preserve"> pregunta si los Departamentos de Servicios Espaciales y de Servicios Terrenales revisarán las versiones en los distintos idiomas. Para evitar retrasos en los trabajos de los </w:t>
            </w:r>
            <w:r w:rsidRPr="005E3C9F">
              <w:rPr>
                <w:sz w:val="22"/>
                <w:lang w:val="es-ES"/>
              </w:rPr>
              <w:lastRenderedPageBreak/>
              <w:t>Estados Miembros considera que sería preferible tomar medidas inmediatamente relativas a las incoherencias ya identificadas. El resto de incoherencias se examinarían durante o después de la CMR-15.</w:t>
            </w:r>
          </w:p>
          <w:p w14:paraId="3A787456" w14:textId="0885F85C" w:rsidR="00967792" w:rsidRPr="005E3C9F" w:rsidRDefault="00967792" w:rsidP="00B53355">
            <w:pPr>
              <w:spacing w:before="40" w:after="40"/>
              <w:rPr>
                <w:sz w:val="22"/>
                <w:lang w:val="es-ES"/>
              </w:rPr>
            </w:pPr>
            <w:r w:rsidRPr="005E3C9F">
              <w:rPr>
                <w:sz w:val="22"/>
                <w:lang w:val="es-ES"/>
              </w:rPr>
              <w:t>1.3</w:t>
            </w:r>
            <w:r w:rsidRPr="005E3C9F">
              <w:rPr>
                <w:sz w:val="22"/>
                <w:lang w:val="es-ES"/>
              </w:rPr>
              <w:tab/>
              <w:t xml:space="preserve">El </w:t>
            </w:r>
            <w:r w:rsidRPr="005E3C9F">
              <w:rPr>
                <w:b/>
                <w:bCs/>
                <w:sz w:val="22"/>
                <w:lang w:val="es-ES"/>
              </w:rPr>
              <w:t>Director de la BR</w:t>
            </w:r>
            <w:r w:rsidRPr="005E3C9F">
              <w:rPr>
                <w:sz w:val="22"/>
                <w:lang w:val="es-ES"/>
              </w:rPr>
              <w:t xml:space="preserve"> dice que, como señala el </w:t>
            </w:r>
            <w:hyperlink r:id="rId168">
              <w:r w:rsidRPr="005E3C9F">
                <w:rPr>
                  <w:rStyle w:val="Hyperlink"/>
                  <w:sz w:val="22"/>
                  <w:lang w:val="es-ES"/>
                </w:rPr>
                <w:t>Documento 535</w:t>
              </w:r>
            </w:hyperlink>
            <w:r w:rsidRPr="005E3C9F">
              <w:rPr>
                <w:sz w:val="22"/>
                <w:lang w:val="es-ES"/>
              </w:rPr>
              <w:t>, es la Comisión de Redacción quien corrige los errores en las versiones en los distintos idiomas una vez identificados dichos errores. Si bien la Delegación de China ya identificó errores en la versión en su idioma, se propuso realizar un examen en profundidad de las versiones en los tres idiomas mencionados para garantizar un perfecto alineamiento y los errores encontrados se remitirían a la Comisión de Redacción de la CMR</w:t>
            </w:r>
            <w:r w:rsidR="005E3C9F">
              <w:rPr>
                <w:sz w:val="22"/>
                <w:lang w:val="es-ES"/>
              </w:rPr>
              <w:noBreakHyphen/>
            </w:r>
            <w:r w:rsidRPr="005E3C9F">
              <w:rPr>
                <w:sz w:val="22"/>
                <w:lang w:val="es-ES"/>
              </w:rPr>
              <w:t xml:space="preserve">15. Respondiendo a una pregunta del </w:t>
            </w:r>
            <w:r w:rsidRPr="005E3C9F">
              <w:rPr>
                <w:b/>
                <w:bCs/>
                <w:sz w:val="22"/>
                <w:lang w:val="es-ES"/>
              </w:rPr>
              <w:t>Presidente de la Comisión 3</w:t>
            </w:r>
            <w:r w:rsidRPr="005E3C9F">
              <w:rPr>
                <w:sz w:val="22"/>
                <w:lang w:val="es-ES"/>
              </w:rPr>
              <w:t>, confirma que no habría consecuencias presupuestarias derivadas del alineamiento en los diferentes idiomas.</w:t>
            </w:r>
          </w:p>
          <w:p w14:paraId="3A13D5D8" w14:textId="3A55609F" w:rsidR="00967792" w:rsidRPr="005E3C9F" w:rsidRDefault="00967792" w:rsidP="00B53355">
            <w:pPr>
              <w:spacing w:before="40" w:after="40"/>
              <w:rPr>
                <w:sz w:val="22"/>
                <w:lang w:val="es-ES"/>
              </w:rPr>
            </w:pPr>
            <w:r w:rsidRPr="005E3C9F">
              <w:rPr>
                <w:sz w:val="22"/>
                <w:lang w:val="es-ES"/>
              </w:rPr>
              <w:t>1.4</w:t>
            </w:r>
            <w:r w:rsidRPr="005E3C9F">
              <w:rPr>
                <w:sz w:val="22"/>
                <w:lang w:val="es-ES"/>
              </w:rPr>
              <w:tab/>
              <w:t xml:space="preserve">El </w:t>
            </w:r>
            <w:r w:rsidRPr="005E3C9F">
              <w:rPr>
                <w:b/>
                <w:bCs/>
                <w:sz w:val="22"/>
                <w:lang w:val="es-ES"/>
              </w:rPr>
              <w:t>Presidente</w:t>
            </w:r>
            <w:r w:rsidRPr="005E3C9F">
              <w:rPr>
                <w:sz w:val="22"/>
                <w:lang w:val="es-ES"/>
              </w:rPr>
              <w:t xml:space="preserve"> considera que la Conferencia aprueba la medida alternativa señalada en el </w:t>
            </w:r>
            <w:hyperlink r:id="rId169">
              <w:r w:rsidRPr="005E3C9F">
                <w:rPr>
                  <w:rStyle w:val="Hyperlink"/>
                  <w:sz w:val="22"/>
                  <w:lang w:val="es-ES"/>
                </w:rPr>
                <w:t>Documento 544</w:t>
              </w:r>
            </w:hyperlink>
            <w:r w:rsidRPr="005E3C9F">
              <w:rPr>
                <w:sz w:val="22"/>
                <w:lang w:val="es-ES"/>
              </w:rPr>
              <w:t xml:space="preserve"> en relación con el </w:t>
            </w:r>
            <w:hyperlink r:id="rId170">
              <w:r w:rsidRPr="005E3C9F">
                <w:rPr>
                  <w:rStyle w:val="Hyperlink"/>
                  <w:sz w:val="22"/>
                  <w:lang w:val="es-ES"/>
                </w:rPr>
                <w:t>Documento 521</w:t>
              </w:r>
            </w:hyperlink>
            <w:r w:rsidRPr="005E3C9F">
              <w:rPr>
                <w:sz w:val="22"/>
                <w:lang w:val="es-ES"/>
              </w:rPr>
              <w:t xml:space="preserve"> (punto 8.1.2 del orden del día) (véase el texto en el § 1.1 anterior).</w:t>
            </w:r>
          </w:p>
          <w:p w14:paraId="25FF87B4" w14:textId="77777777" w:rsidR="00967792" w:rsidRPr="005E3C9F" w:rsidRDefault="00967792" w:rsidP="00B53355">
            <w:pPr>
              <w:spacing w:before="40" w:after="40"/>
              <w:rPr>
                <w:sz w:val="22"/>
                <w:lang w:val="es-ES"/>
              </w:rPr>
            </w:pPr>
            <w:r w:rsidRPr="005E3C9F">
              <w:rPr>
                <w:sz w:val="22"/>
                <w:lang w:val="es-ES"/>
              </w:rPr>
              <w:t>1.5</w:t>
            </w:r>
            <w:r w:rsidRPr="005E3C9F">
              <w:rPr>
                <w:sz w:val="22"/>
                <w:lang w:val="es-ES"/>
              </w:rPr>
              <w:tab/>
              <w:t xml:space="preserve">Así se </w:t>
            </w:r>
            <w:r w:rsidRPr="005E3C9F">
              <w:rPr>
                <w:b/>
                <w:bCs/>
                <w:sz w:val="22"/>
                <w:lang w:val="es-ES"/>
              </w:rPr>
              <w:t>acuerda</w:t>
            </w:r>
            <w:r w:rsidRPr="005E3C9F">
              <w:rPr>
                <w:sz w:val="22"/>
                <w:lang w:val="es-ES"/>
              </w:rPr>
              <w:t>.</w:t>
            </w:r>
          </w:p>
        </w:tc>
        <w:tc>
          <w:tcPr>
            <w:tcW w:w="1548" w:type="pct"/>
          </w:tcPr>
          <w:p w14:paraId="12010A99" w14:textId="7B498ED2" w:rsidR="00967792" w:rsidRPr="00266695" w:rsidRDefault="00967792" w:rsidP="00B53355">
            <w:pPr>
              <w:pStyle w:val="Tabletext"/>
              <w:rPr>
                <w:lang w:val="es-ES"/>
              </w:rPr>
            </w:pPr>
          </w:p>
        </w:tc>
      </w:tr>
      <w:tr w:rsidR="00967792" w:rsidRPr="00D2027A" w14:paraId="597C0F2E" w14:textId="77777777" w:rsidTr="00924C8B">
        <w:trPr>
          <w:jc w:val="center"/>
        </w:trPr>
        <w:tc>
          <w:tcPr>
            <w:tcW w:w="183" w:type="pct"/>
          </w:tcPr>
          <w:p w14:paraId="54B186D8" w14:textId="5CE2542D" w:rsidR="00967792" w:rsidRPr="00A616CA" w:rsidRDefault="00967792" w:rsidP="00B53355">
            <w:pPr>
              <w:pStyle w:val="Tabletext"/>
              <w:rPr>
                <w:lang w:val="es-ES"/>
              </w:rPr>
            </w:pPr>
            <w:r w:rsidRPr="00A616CA">
              <w:rPr>
                <w:lang w:val="es-ES"/>
              </w:rPr>
              <w:t>47</w:t>
            </w:r>
          </w:p>
        </w:tc>
        <w:tc>
          <w:tcPr>
            <w:tcW w:w="434" w:type="pct"/>
          </w:tcPr>
          <w:p w14:paraId="398F0182" w14:textId="38CE9A19" w:rsidR="00967792" w:rsidRPr="00A616CA" w:rsidRDefault="00967792" w:rsidP="00B53355">
            <w:pPr>
              <w:pStyle w:val="Tabletext"/>
              <w:rPr>
                <w:lang w:val="es-ES"/>
              </w:rPr>
            </w:pPr>
            <w:r w:rsidRPr="00A616CA">
              <w:rPr>
                <w:lang w:val="es-ES"/>
              </w:rPr>
              <w:t>CMR-15</w:t>
            </w:r>
          </w:p>
        </w:tc>
        <w:tc>
          <w:tcPr>
            <w:tcW w:w="523" w:type="pct"/>
          </w:tcPr>
          <w:p w14:paraId="42A7C3AF" w14:textId="277869AD" w:rsidR="00967792" w:rsidRPr="00D2027A" w:rsidRDefault="00967792" w:rsidP="00B53355">
            <w:pPr>
              <w:pStyle w:val="Tabletext"/>
              <w:rPr>
                <w:rFonts w:asciiTheme="majorBidi" w:hAnsiTheme="majorBidi" w:cstheme="majorBidi"/>
                <w:bCs/>
                <w:szCs w:val="24"/>
                <w:lang w:val="es-ES"/>
              </w:rPr>
            </w:pPr>
            <w:r w:rsidRPr="00D2027A">
              <w:rPr>
                <w:rFonts w:asciiTheme="majorBidi" w:hAnsiTheme="majorBidi" w:cstheme="majorBidi"/>
                <w:bCs/>
                <w:szCs w:val="24"/>
                <w:lang w:val="es-ES"/>
              </w:rPr>
              <w:t>4ª Plenaria</w:t>
            </w:r>
            <w:r w:rsidR="002D6508">
              <w:rPr>
                <w:rFonts w:asciiTheme="majorBidi" w:hAnsiTheme="majorBidi" w:cstheme="majorBidi"/>
                <w:bCs/>
                <w:szCs w:val="24"/>
                <w:lang w:val="es-ES"/>
              </w:rPr>
              <w:br/>
            </w:r>
            <w:hyperlink r:id="rId171">
              <w:r w:rsidRPr="00D2027A">
                <w:rPr>
                  <w:rStyle w:val="Hyperlink"/>
                  <w:rFonts w:asciiTheme="majorBidi" w:hAnsiTheme="majorBidi" w:cstheme="majorBidi"/>
                  <w:bCs/>
                  <w:szCs w:val="24"/>
                  <w:lang w:val="es-ES"/>
                </w:rPr>
                <w:t>Doc. CMR15/272</w:t>
              </w:r>
            </w:hyperlink>
          </w:p>
          <w:p w14:paraId="3E39A76D" w14:textId="2D7E53C4" w:rsidR="00967792" w:rsidRPr="00D2027A" w:rsidRDefault="00967792" w:rsidP="00B53355">
            <w:pPr>
              <w:pStyle w:val="Tabletext"/>
              <w:rPr>
                <w:rFonts w:asciiTheme="majorBidi" w:hAnsiTheme="majorBidi" w:cstheme="majorBidi"/>
                <w:bCs/>
                <w:szCs w:val="24"/>
                <w:lang w:val="es-ES"/>
              </w:rPr>
            </w:pPr>
            <w:r w:rsidRPr="00D2027A">
              <w:rPr>
                <w:rFonts w:asciiTheme="majorBidi" w:hAnsiTheme="majorBidi" w:cstheme="majorBidi"/>
                <w:bCs/>
                <w:szCs w:val="24"/>
                <w:lang w:val="es-ES"/>
              </w:rPr>
              <w:t xml:space="preserve">Aprobación del </w:t>
            </w:r>
            <w:hyperlink r:id="rId172" w:history="1">
              <w:r w:rsidRPr="00536113">
                <w:rPr>
                  <w:rStyle w:val="Hyperlink"/>
                  <w:rFonts w:asciiTheme="majorBidi" w:hAnsiTheme="majorBidi" w:cstheme="majorBidi"/>
                  <w:bCs/>
                  <w:szCs w:val="24"/>
                  <w:lang w:val="es-ES"/>
                </w:rPr>
                <w:t>Doc. CMR15/230</w:t>
              </w:r>
            </w:hyperlink>
          </w:p>
        </w:tc>
        <w:tc>
          <w:tcPr>
            <w:tcW w:w="2312" w:type="pct"/>
          </w:tcPr>
          <w:p w14:paraId="1099B98D" w14:textId="77777777" w:rsidR="00967792" w:rsidRPr="005E3C9F" w:rsidRDefault="00967792" w:rsidP="00B53355">
            <w:pPr>
              <w:spacing w:before="40" w:after="40"/>
              <w:rPr>
                <w:sz w:val="22"/>
                <w:lang w:val="es-ES"/>
              </w:rPr>
            </w:pPr>
            <w:r w:rsidRPr="005E3C9F">
              <w:rPr>
                <w:sz w:val="22"/>
                <w:lang w:val="es-ES"/>
              </w:rPr>
              <w:t>1.10</w:t>
            </w:r>
            <w:r w:rsidRPr="005E3C9F">
              <w:rPr>
                <w:sz w:val="22"/>
                <w:lang w:val="es-ES"/>
              </w:rPr>
              <w:tab/>
              <w:t>Con respecto al Documento 230, el Presidente de la Comisión 5 explica que la Comisión ha convenido en los cambios que han de introducirse en las Resoluciones 907 y 908 (CMR-12) y ha comunicado el resultado de sus trabajos a la Comisión de Redacción, que los somete a la consideración de la presente Sesión Plenaria en el Documento 228. Además, se han señalado a la atención de la Comisión 3 las posibles consecuencias de estas modificaciones. La Comisión 5 solicita que la Conferencia encomiende a la Oficina de Radiocomunicaciones el desarrollo y la aplicación de los medios y herramientas descritos en el «</w:t>
            </w:r>
            <w:r w:rsidRPr="005E3C9F">
              <w:rPr>
                <w:i/>
                <w:iCs/>
                <w:sz w:val="22"/>
                <w:lang w:val="es-ES"/>
              </w:rPr>
              <w:t>encarga a la Oficina de Radiocomunicaciones</w:t>
            </w:r>
            <w:r w:rsidRPr="005E3C9F">
              <w:rPr>
                <w:sz w:val="22"/>
                <w:lang w:val="es-ES"/>
              </w:rPr>
              <w:t>» y el «</w:t>
            </w:r>
            <w:r w:rsidRPr="005E3C9F">
              <w:rPr>
                <w:i/>
                <w:iCs/>
                <w:sz w:val="22"/>
                <w:lang w:val="es-ES"/>
              </w:rPr>
              <w:t>encarga al Director de la Oficina de Radiocomunicaciones</w:t>
            </w:r>
            <w:r w:rsidRPr="005E3C9F">
              <w:rPr>
                <w:sz w:val="22"/>
                <w:lang w:val="es-ES"/>
              </w:rPr>
              <w:t>»</w:t>
            </w:r>
            <w:r w:rsidRPr="005E3C9F">
              <w:rPr>
                <w:b/>
                <w:bCs/>
                <w:sz w:val="22"/>
                <w:lang w:val="es-ES"/>
              </w:rPr>
              <w:t xml:space="preserve"> </w:t>
            </w:r>
            <w:r w:rsidRPr="005E3C9F">
              <w:rPr>
                <w:sz w:val="22"/>
                <w:lang w:val="es-ES"/>
              </w:rPr>
              <w:t>de ambas Resoluciones, preferiblemente antes del 1 de enero de 2017 y, a más tardar, el 30 de junio de 2017.</w:t>
            </w:r>
          </w:p>
          <w:p w14:paraId="74701D07" w14:textId="77777777" w:rsidR="00967792" w:rsidRPr="005E3C9F" w:rsidRDefault="00967792" w:rsidP="00B53355">
            <w:pPr>
              <w:spacing w:before="40" w:after="40"/>
              <w:rPr>
                <w:sz w:val="22"/>
                <w:lang w:val="es-ES"/>
              </w:rPr>
            </w:pPr>
            <w:r w:rsidRPr="005E3C9F">
              <w:rPr>
                <w:sz w:val="22"/>
                <w:lang w:val="es-ES"/>
              </w:rPr>
              <w:t>1.11</w:t>
            </w:r>
            <w:r w:rsidRPr="005E3C9F">
              <w:rPr>
                <w:sz w:val="22"/>
                <w:lang w:val="es-ES"/>
              </w:rPr>
              <w:tab/>
              <w:t xml:space="preserve">En lo que atañe a la labor relativa al punto 9.2 del orden del día, la Comisión ha refrendado las decisiones adoptadas por la Junta </w:t>
            </w:r>
            <w:r w:rsidRPr="005E3C9F">
              <w:rPr>
                <w:sz w:val="22"/>
                <w:lang w:val="es-ES"/>
              </w:rPr>
              <w:lastRenderedPageBreak/>
              <w:t>del Reglamento de Radiocomunicaciones respecto de la reincorporación de las asignaciones de frecuencias a la red CSDRN-M, y la ampliación del plazo para la puesta en servicio de las asignaciones de frecuencias a la red de satélites LAOSAT</w:t>
            </w:r>
            <w:r w:rsidRPr="005E3C9F">
              <w:rPr>
                <w:sz w:val="22"/>
                <w:lang w:val="es-ES"/>
              </w:rPr>
              <w:noBreakHyphen/>
              <w:t>128,5E hasta el 31 de diciembre de 2015.</w:t>
            </w:r>
          </w:p>
          <w:p w14:paraId="44D8DA36" w14:textId="246B7C54" w:rsidR="00967792" w:rsidRPr="005E3C9F" w:rsidRDefault="00967792" w:rsidP="00B53355">
            <w:pPr>
              <w:spacing w:before="40" w:after="40"/>
              <w:rPr>
                <w:sz w:val="22"/>
                <w:lang w:val="es-ES"/>
              </w:rPr>
            </w:pPr>
            <w:r w:rsidRPr="005E3C9F">
              <w:rPr>
                <w:sz w:val="22"/>
                <w:lang w:val="es-ES"/>
              </w:rPr>
              <w:t>1.12</w:t>
            </w:r>
            <w:r w:rsidRPr="005E3C9F">
              <w:rPr>
                <w:sz w:val="22"/>
                <w:lang w:val="es-ES"/>
              </w:rPr>
              <w:tab/>
              <w:t xml:space="preserve">Se </w:t>
            </w:r>
            <w:r w:rsidRPr="005E3C9F">
              <w:rPr>
                <w:b/>
                <w:bCs/>
                <w:sz w:val="22"/>
                <w:lang w:val="es-ES"/>
              </w:rPr>
              <w:t xml:space="preserve">aprueba </w:t>
            </w:r>
            <w:r w:rsidRPr="005E3C9F">
              <w:rPr>
                <w:sz w:val="22"/>
                <w:lang w:val="es-ES"/>
              </w:rPr>
              <w:t>el Documento 230.</w:t>
            </w:r>
          </w:p>
        </w:tc>
        <w:tc>
          <w:tcPr>
            <w:tcW w:w="1548" w:type="pct"/>
          </w:tcPr>
          <w:p w14:paraId="051066CF" w14:textId="77777777" w:rsidR="00967792" w:rsidRPr="00D2027A" w:rsidRDefault="00967792" w:rsidP="00B53355">
            <w:pPr>
              <w:pStyle w:val="Tabletext"/>
              <w:rPr>
                <w:rFonts w:asciiTheme="majorBidi" w:hAnsiTheme="majorBidi" w:cstheme="majorBidi"/>
                <w:lang w:val="es-ES"/>
              </w:rPr>
            </w:pPr>
            <w:r w:rsidRPr="00D2027A">
              <w:rPr>
                <w:rFonts w:asciiTheme="majorBidi" w:hAnsiTheme="majorBidi" w:cstheme="majorBidi"/>
                <w:b/>
                <w:lang w:val="es-ES"/>
              </w:rPr>
              <w:lastRenderedPageBreak/>
              <w:t xml:space="preserve">La CMR-15 encarga a la Oficina de Radiocomunicaciones </w:t>
            </w:r>
            <w:r w:rsidRPr="00D2027A">
              <w:rPr>
                <w:rFonts w:asciiTheme="majorBidi" w:hAnsiTheme="majorBidi" w:cstheme="majorBidi"/>
                <w:lang w:val="es-ES"/>
              </w:rPr>
              <w:t xml:space="preserve">el desarrollo e implementación de las herramientas y los medios descritos en el </w:t>
            </w:r>
            <w:r w:rsidRPr="00D2027A">
              <w:rPr>
                <w:rFonts w:asciiTheme="majorBidi" w:hAnsiTheme="majorBidi" w:cstheme="majorBidi"/>
                <w:i/>
                <w:iCs/>
                <w:lang w:val="es-ES"/>
              </w:rPr>
              <w:t>encarga a la Oficina de Radiocomunicaciones</w:t>
            </w:r>
            <w:r w:rsidRPr="00D2027A">
              <w:rPr>
                <w:rFonts w:asciiTheme="majorBidi" w:hAnsiTheme="majorBidi" w:cstheme="majorBidi"/>
                <w:lang w:val="es-ES"/>
              </w:rPr>
              <w:t xml:space="preserve"> de ambas Resoluciones, preferiblemente para el 1 de enero de 2017 y no más tarde del 30 de junio </w:t>
            </w:r>
            <w:r w:rsidRPr="00266695">
              <w:rPr>
                <w:lang w:val="es-ES"/>
              </w:rPr>
              <w:t>de</w:t>
            </w:r>
            <w:r w:rsidRPr="00D2027A">
              <w:rPr>
                <w:rFonts w:asciiTheme="majorBidi" w:hAnsiTheme="majorBidi" w:cstheme="majorBidi"/>
                <w:lang w:val="es-ES"/>
              </w:rPr>
              <w:t xml:space="preserve"> 2017, teniendo en cuenta las posibles consecuencias financieras.</w:t>
            </w:r>
          </w:p>
          <w:p w14:paraId="5C198123" w14:textId="6144B8A9" w:rsidR="00967792" w:rsidRPr="00D2027A" w:rsidDel="009440F5" w:rsidRDefault="00967792" w:rsidP="00B53355">
            <w:pPr>
              <w:pStyle w:val="Tabletext"/>
              <w:rPr>
                <w:rFonts w:asciiTheme="majorBidi" w:hAnsiTheme="majorBidi" w:cstheme="majorBidi"/>
                <w:szCs w:val="24"/>
                <w:lang w:val="es-ES"/>
              </w:rPr>
            </w:pPr>
            <w:r w:rsidRPr="00D2027A">
              <w:rPr>
                <w:rFonts w:asciiTheme="majorBidi" w:hAnsiTheme="majorBidi" w:cstheme="majorBidi"/>
                <w:lang w:val="es-ES"/>
              </w:rPr>
              <w:t xml:space="preserve">La CMR-15 tomó nota de la sección 3.2.7.7 del Addéndum 2(Rev.1) y la sección 8.6 del Addéndum 3 al Documento 4 relativas a la decisión de la Junta del Reglamento de Radiocomunicaciones de reincorporar las </w:t>
            </w:r>
            <w:r w:rsidRPr="00266695">
              <w:rPr>
                <w:lang w:val="es-ES"/>
              </w:rPr>
              <w:t>asignaciones</w:t>
            </w:r>
            <w:r w:rsidRPr="00D2027A">
              <w:rPr>
                <w:rFonts w:asciiTheme="majorBidi" w:hAnsiTheme="majorBidi" w:cstheme="majorBidi"/>
                <w:lang w:val="es-ES"/>
              </w:rPr>
              <w:t xml:space="preserve"> de frecuencias a la red </w:t>
            </w:r>
            <w:r w:rsidRPr="00D2027A">
              <w:rPr>
                <w:rFonts w:asciiTheme="majorBidi" w:hAnsiTheme="majorBidi" w:cstheme="majorBidi"/>
                <w:lang w:val="es-ES"/>
              </w:rPr>
              <w:lastRenderedPageBreak/>
              <w:t>CSDRN</w:t>
            </w:r>
            <w:r w:rsidRPr="00D2027A">
              <w:rPr>
                <w:rFonts w:asciiTheme="majorBidi" w:hAnsiTheme="majorBidi" w:cstheme="majorBidi"/>
                <w:lang w:val="es-ES"/>
              </w:rPr>
              <w:noBreakHyphen/>
              <w:t xml:space="preserve">M. Asimismo, la CMR-15 tomó nota de la sección 8.11 del Addéndum 3 al Documento 4 relativa a la ampliación excepcional del plazo para la puesta en servicio de las asignaciones de frecuencias a la red de satélites LAOSAT128.5E hasta el 31 de diciembre de 2015. </w:t>
            </w:r>
            <w:r w:rsidRPr="00D2027A">
              <w:rPr>
                <w:rFonts w:asciiTheme="majorBidi" w:hAnsiTheme="majorBidi" w:cstheme="majorBidi"/>
                <w:b/>
                <w:bCs/>
                <w:lang w:val="es-ES"/>
              </w:rPr>
              <w:t>La CMR-15 refrendó las decisiones adoptadas por la Junta en ambos casos</w:t>
            </w:r>
            <w:r w:rsidRPr="00D2027A">
              <w:rPr>
                <w:rFonts w:asciiTheme="majorBidi" w:hAnsiTheme="majorBidi" w:cstheme="majorBidi"/>
                <w:lang w:val="es-ES"/>
              </w:rPr>
              <w:t>. Por otra parte, la CMR</w:t>
            </w:r>
            <w:r w:rsidRPr="00D2027A">
              <w:rPr>
                <w:rFonts w:asciiTheme="majorBidi" w:hAnsiTheme="majorBidi" w:cstheme="majorBidi"/>
                <w:lang w:val="es-ES"/>
              </w:rPr>
              <w:noBreakHyphen/>
              <w:t>15 indicó que dichas decisiones se habían adoptado caso por caso, teniendo en cuenta circunstancias concretas vinculadas a esos dos casos particulares.</w:t>
            </w:r>
          </w:p>
        </w:tc>
      </w:tr>
      <w:tr w:rsidR="00967792" w:rsidRPr="00D2027A" w14:paraId="7099CFAD" w14:textId="77777777" w:rsidTr="00924C8B">
        <w:trPr>
          <w:jc w:val="center"/>
        </w:trPr>
        <w:tc>
          <w:tcPr>
            <w:tcW w:w="183" w:type="pct"/>
          </w:tcPr>
          <w:p w14:paraId="3E8220D1" w14:textId="435049FE" w:rsidR="00967792" w:rsidRPr="00A616CA" w:rsidRDefault="00967792" w:rsidP="00B53355">
            <w:pPr>
              <w:pStyle w:val="Tabletext"/>
              <w:rPr>
                <w:lang w:val="es-ES"/>
              </w:rPr>
            </w:pPr>
            <w:r w:rsidRPr="00A616CA">
              <w:rPr>
                <w:lang w:val="es-ES"/>
              </w:rPr>
              <w:lastRenderedPageBreak/>
              <w:t>48</w:t>
            </w:r>
          </w:p>
        </w:tc>
        <w:tc>
          <w:tcPr>
            <w:tcW w:w="434" w:type="pct"/>
          </w:tcPr>
          <w:p w14:paraId="2131C061" w14:textId="6525D8C6" w:rsidR="00967792" w:rsidRPr="00A616CA" w:rsidRDefault="00967792" w:rsidP="00B53355">
            <w:pPr>
              <w:pStyle w:val="Tabletext"/>
              <w:rPr>
                <w:lang w:val="es-ES"/>
              </w:rPr>
            </w:pPr>
            <w:r w:rsidRPr="00A616CA">
              <w:rPr>
                <w:lang w:val="es-ES"/>
              </w:rPr>
              <w:t>CMR-15</w:t>
            </w:r>
          </w:p>
        </w:tc>
        <w:tc>
          <w:tcPr>
            <w:tcW w:w="523" w:type="pct"/>
          </w:tcPr>
          <w:p w14:paraId="76F7E955" w14:textId="70B11323" w:rsidR="00967792" w:rsidRPr="00D2027A" w:rsidRDefault="00967792" w:rsidP="00B53355">
            <w:pPr>
              <w:pStyle w:val="Tabletext"/>
              <w:rPr>
                <w:rFonts w:asciiTheme="majorBidi" w:hAnsiTheme="majorBidi" w:cstheme="majorBidi"/>
                <w:bCs/>
                <w:szCs w:val="24"/>
                <w:lang w:val="es-ES"/>
              </w:rPr>
            </w:pPr>
            <w:r w:rsidRPr="00D2027A">
              <w:rPr>
                <w:rFonts w:asciiTheme="majorBidi" w:hAnsiTheme="majorBidi" w:cstheme="majorBidi"/>
                <w:bCs/>
                <w:szCs w:val="24"/>
                <w:lang w:val="es-ES"/>
              </w:rPr>
              <w:t>4ª Plenaria</w:t>
            </w:r>
            <w:r w:rsidR="002D6508">
              <w:rPr>
                <w:rFonts w:asciiTheme="majorBidi" w:hAnsiTheme="majorBidi" w:cstheme="majorBidi"/>
                <w:bCs/>
                <w:szCs w:val="24"/>
                <w:lang w:val="es-ES"/>
              </w:rPr>
              <w:br/>
            </w:r>
            <w:hyperlink r:id="rId173">
              <w:r w:rsidRPr="00D2027A">
                <w:rPr>
                  <w:rStyle w:val="Hyperlink"/>
                  <w:rFonts w:asciiTheme="majorBidi" w:hAnsiTheme="majorBidi" w:cstheme="majorBidi"/>
                  <w:bCs/>
                  <w:szCs w:val="24"/>
                  <w:lang w:val="es-ES"/>
                </w:rPr>
                <w:t>Doc. CMR15/272</w:t>
              </w:r>
            </w:hyperlink>
          </w:p>
          <w:p w14:paraId="0CAE0389" w14:textId="23B395CE" w:rsidR="00967792" w:rsidRPr="00D2027A" w:rsidRDefault="00967792" w:rsidP="00B53355">
            <w:pPr>
              <w:pStyle w:val="Tabletext"/>
              <w:rPr>
                <w:rFonts w:asciiTheme="majorBidi" w:hAnsiTheme="majorBidi" w:cstheme="majorBidi"/>
                <w:bCs/>
                <w:szCs w:val="24"/>
                <w:lang w:val="es-ES"/>
              </w:rPr>
            </w:pPr>
            <w:r w:rsidRPr="00D2027A">
              <w:rPr>
                <w:rFonts w:asciiTheme="majorBidi" w:hAnsiTheme="majorBidi" w:cstheme="majorBidi"/>
                <w:bCs/>
                <w:szCs w:val="24"/>
                <w:lang w:val="es-ES"/>
              </w:rPr>
              <w:t>Aprobación del Doc</w:t>
            </w:r>
            <w:r w:rsidR="00536113">
              <w:rPr>
                <w:rFonts w:asciiTheme="majorBidi" w:hAnsiTheme="majorBidi" w:cstheme="majorBidi"/>
                <w:bCs/>
                <w:szCs w:val="24"/>
                <w:lang w:val="es-ES"/>
              </w:rPr>
              <w:t>.</w:t>
            </w:r>
            <w:r w:rsidRPr="00D2027A">
              <w:rPr>
                <w:rFonts w:asciiTheme="majorBidi" w:hAnsiTheme="majorBidi" w:cstheme="majorBidi"/>
                <w:bCs/>
                <w:szCs w:val="24"/>
                <w:lang w:val="es-ES"/>
              </w:rPr>
              <w:t xml:space="preserve"> 225</w:t>
            </w:r>
          </w:p>
        </w:tc>
        <w:tc>
          <w:tcPr>
            <w:tcW w:w="2312" w:type="pct"/>
          </w:tcPr>
          <w:p w14:paraId="792ECD20" w14:textId="77777777" w:rsidR="00967792" w:rsidRPr="002D6508" w:rsidRDefault="00967792" w:rsidP="00B53355">
            <w:pPr>
              <w:spacing w:before="40" w:after="40"/>
              <w:rPr>
                <w:sz w:val="22"/>
                <w:lang w:val="es-ES"/>
              </w:rPr>
            </w:pPr>
            <w:r w:rsidRPr="002D6508">
              <w:rPr>
                <w:sz w:val="22"/>
                <w:lang w:val="es-ES"/>
              </w:rPr>
              <w:t>1.13</w:t>
            </w:r>
            <w:r w:rsidRPr="002D6508">
              <w:rPr>
                <w:sz w:val="22"/>
                <w:lang w:val="es-ES"/>
              </w:rPr>
              <w:tab/>
              <w:t xml:space="preserve">La </w:t>
            </w:r>
            <w:r w:rsidRPr="002D6508">
              <w:rPr>
                <w:b/>
                <w:bCs/>
                <w:sz w:val="22"/>
                <w:lang w:val="es-ES"/>
              </w:rPr>
              <w:t xml:space="preserve">Presidenta de la Comisión 6 </w:t>
            </w:r>
            <w:r w:rsidRPr="002D6508">
              <w:rPr>
                <w:sz w:val="22"/>
                <w:lang w:val="es-ES"/>
              </w:rPr>
              <w:t xml:space="preserve">señala que el Grupo de Trabajo 6B ha creado cuatro grupos </w:t>
            </w:r>
            <w:r w:rsidRPr="003B320A">
              <w:rPr>
                <w:i/>
                <w:iCs/>
                <w:sz w:val="22"/>
                <w:lang w:val="es-ES"/>
              </w:rPr>
              <w:t>ad hoc</w:t>
            </w:r>
            <w:r w:rsidRPr="002D6508">
              <w:rPr>
                <w:sz w:val="22"/>
                <w:lang w:val="es-ES"/>
              </w:rPr>
              <w:t xml:space="preserve"> con el fin de examinar los puntos que se inscribirán en el orden del día de futuras CMR. El Grupo de Trabajo 6A prosigue su labor sobre el punto 8 del orden del día y no cesa de recibir propuestas pertinentes. Los primeros resultados de los trabajos relativos a los puntos 2 y 4 del orden del día se someten a la consideración de la presente Sesión Plenaria en el Documento 228. Por último, los estudios atenientes al punto 9.2 siguen su curso.</w:t>
            </w:r>
          </w:p>
          <w:p w14:paraId="138031F3" w14:textId="77777777" w:rsidR="00967792" w:rsidRPr="002D6508" w:rsidRDefault="00967792" w:rsidP="00B53355">
            <w:pPr>
              <w:spacing w:before="40" w:after="40"/>
              <w:rPr>
                <w:sz w:val="22"/>
                <w:lang w:val="es-ES"/>
              </w:rPr>
            </w:pPr>
            <w:r w:rsidRPr="002D6508">
              <w:rPr>
                <w:sz w:val="22"/>
                <w:lang w:val="es-ES"/>
              </w:rPr>
              <w:t>1.14</w:t>
            </w:r>
            <w:r w:rsidRPr="002D6508">
              <w:rPr>
                <w:sz w:val="22"/>
                <w:lang w:val="es-ES"/>
              </w:rPr>
              <w:tab/>
              <w:t>Al presentar el Documento 225, la oradora señala a la atención de los presentes que la Comisión ha concluido que no se requieren cambios en los títulos de los Artículos 37, 39, 40, 42, 43, 44, 47, 49, 50, 52 y 53 del Reglamento de Radiocomunicaciones, a condición de que la Secretaría de la UIT adopte las medidas oportunas para facilitar la lectura del Reglamento de Radiocomunicaciones mediante la introducción de encabezamientos en todas las páginas del Volumen I, en los que se indique el título del capítulo correspondiente. Además, de conformidad con lo estipulado en el Documento 228 que la Comisión 7 somete a la presente Sesión Plenaria, se propone suprimir la Resolución 67 (CMR-12) y modificar el Artículo 2.</w:t>
            </w:r>
          </w:p>
          <w:p w14:paraId="3808EB5A" w14:textId="77777777" w:rsidR="00967792" w:rsidRPr="002D6508" w:rsidRDefault="00967792" w:rsidP="00B53355">
            <w:pPr>
              <w:spacing w:before="40" w:after="40"/>
              <w:rPr>
                <w:sz w:val="22"/>
                <w:lang w:val="es-ES"/>
              </w:rPr>
            </w:pPr>
            <w:r w:rsidRPr="002D6508">
              <w:rPr>
                <w:sz w:val="22"/>
                <w:lang w:val="es-ES"/>
              </w:rPr>
              <w:lastRenderedPageBreak/>
              <w:t>1.15</w:t>
            </w:r>
            <w:r w:rsidRPr="002D6508">
              <w:rPr>
                <w:sz w:val="22"/>
                <w:lang w:val="es-ES"/>
              </w:rPr>
              <w:tab/>
              <w:t xml:space="preserve">El </w:t>
            </w:r>
            <w:r w:rsidRPr="002D6508">
              <w:rPr>
                <w:b/>
                <w:bCs/>
                <w:sz w:val="22"/>
                <w:lang w:val="es-ES"/>
              </w:rPr>
              <w:t xml:space="preserve">delegado de la República Islámica del Irán </w:t>
            </w:r>
            <w:r w:rsidRPr="002D6508">
              <w:rPr>
                <w:sz w:val="22"/>
                <w:lang w:val="es-ES"/>
              </w:rPr>
              <w:t>recuerda que la participación en los trabajos de todas las comisiones reviste una dificultad particular para las delegaciones más pequeñas y, sobre todo, para las de los países en desarrollo, y señala la conveniencia de reducir al mínimo necesario el número de puntos inscritos en el orden del día de la próxima CMR. No todas las cuestiones que podrían abordarse en el marco de las actividades actuales de la UIT deben constituir un punto independiente, y los temas respecto de los cuales la Conferencia ha de adoptar una decisión podrían incluirse en el informe del Director en virtud del punto 9.1 del orden del día.</w:t>
            </w:r>
          </w:p>
          <w:p w14:paraId="4939BEC0" w14:textId="77777777" w:rsidR="00967792" w:rsidRPr="002D6508" w:rsidRDefault="00967792" w:rsidP="00B53355">
            <w:pPr>
              <w:spacing w:before="40" w:after="40"/>
              <w:rPr>
                <w:sz w:val="22"/>
                <w:lang w:val="es-ES"/>
              </w:rPr>
            </w:pPr>
            <w:r w:rsidRPr="002D6508">
              <w:rPr>
                <w:sz w:val="22"/>
                <w:lang w:val="es-ES"/>
              </w:rPr>
              <w:t>1.16</w:t>
            </w:r>
            <w:r w:rsidRPr="002D6508">
              <w:rPr>
                <w:sz w:val="22"/>
                <w:lang w:val="es-ES"/>
              </w:rPr>
              <w:tab/>
              <w:t xml:space="preserve">La </w:t>
            </w:r>
            <w:r w:rsidRPr="002D6508">
              <w:rPr>
                <w:b/>
                <w:bCs/>
                <w:sz w:val="22"/>
                <w:lang w:val="es-ES"/>
              </w:rPr>
              <w:t xml:space="preserve">Presidenta de la Comisión 6 </w:t>
            </w:r>
            <w:r w:rsidRPr="002D6508">
              <w:rPr>
                <w:sz w:val="22"/>
                <w:lang w:val="es-ES"/>
              </w:rPr>
              <w:t>asegura a los participantes que la Comisión es consciente de esa dificultad y que la tiene en cuenta en el marco de sus trabajos.</w:t>
            </w:r>
          </w:p>
          <w:p w14:paraId="4757AA89" w14:textId="77777777" w:rsidR="00967792" w:rsidRPr="002D6508" w:rsidRDefault="00967792" w:rsidP="00B53355">
            <w:pPr>
              <w:spacing w:before="40" w:after="40"/>
              <w:rPr>
                <w:sz w:val="22"/>
                <w:lang w:val="es-ES"/>
              </w:rPr>
            </w:pPr>
            <w:r w:rsidRPr="002D6508">
              <w:rPr>
                <w:sz w:val="22"/>
                <w:lang w:val="es-ES"/>
              </w:rPr>
              <w:t>1.17</w:t>
            </w:r>
            <w:r w:rsidRPr="002D6508">
              <w:rPr>
                <w:sz w:val="22"/>
                <w:lang w:val="es-ES"/>
              </w:rPr>
              <w:tab/>
              <w:t xml:space="preserve">El </w:t>
            </w:r>
            <w:r w:rsidRPr="002D6508">
              <w:rPr>
                <w:b/>
                <w:bCs/>
                <w:sz w:val="22"/>
                <w:lang w:val="es-ES"/>
              </w:rPr>
              <w:t>delegado de Arabia Saudita</w:t>
            </w:r>
            <w:r w:rsidRPr="002D6508">
              <w:rPr>
                <w:sz w:val="22"/>
                <w:lang w:val="es-ES"/>
              </w:rPr>
              <w:t xml:space="preserve"> señala un cambio necesario en la versión árabe del párrafo en que se aborda el punto 9.1.</w:t>
            </w:r>
          </w:p>
          <w:p w14:paraId="09361AFF" w14:textId="77777777" w:rsidR="00967792" w:rsidRPr="002D6508" w:rsidRDefault="00967792" w:rsidP="00B53355">
            <w:pPr>
              <w:spacing w:before="40" w:after="40"/>
              <w:rPr>
                <w:sz w:val="22"/>
                <w:lang w:val="es-ES"/>
              </w:rPr>
            </w:pPr>
            <w:r w:rsidRPr="002D6508">
              <w:rPr>
                <w:sz w:val="22"/>
                <w:lang w:val="es-ES"/>
              </w:rPr>
              <w:t>1.18</w:t>
            </w:r>
            <w:r w:rsidRPr="002D6508">
              <w:rPr>
                <w:sz w:val="22"/>
                <w:lang w:val="es-ES"/>
              </w:rPr>
              <w:tab/>
              <w:t xml:space="preserve">Se </w:t>
            </w:r>
            <w:r w:rsidRPr="002D6508">
              <w:rPr>
                <w:b/>
                <w:bCs/>
                <w:sz w:val="22"/>
                <w:lang w:val="es-ES"/>
              </w:rPr>
              <w:t>toma nota</w:t>
            </w:r>
            <w:r w:rsidRPr="002D6508">
              <w:rPr>
                <w:sz w:val="22"/>
                <w:lang w:val="es-ES"/>
              </w:rPr>
              <w:t xml:space="preserve"> de su observación.</w:t>
            </w:r>
          </w:p>
          <w:p w14:paraId="0ACA5E63" w14:textId="508BD151" w:rsidR="00967792" w:rsidRPr="002D6508" w:rsidRDefault="00967792" w:rsidP="00B53355">
            <w:pPr>
              <w:spacing w:before="40" w:after="40"/>
              <w:rPr>
                <w:sz w:val="22"/>
                <w:lang w:val="es-ES"/>
              </w:rPr>
            </w:pPr>
            <w:r w:rsidRPr="002D6508">
              <w:rPr>
                <w:sz w:val="22"/>
                <w:lang w:val="es-ES"/>
              </w:rPr>
              <w:t>1.19</w:t>
            </w:r>
            <w:r w:rsidRPr="002D6508">
              <w:rPr>
                <w:sz w:val="22"/>
                <w:lang w:val="es-ES"/>
              </w:rPr>
              <w:tab/>
              <w:t xml:space="preserve">Se </w:t>
            </w:r>
            <w:r w:rsidRPr="002D6508">
              <w:rPr>
                <w:b/>
                <w:bCs/>
                <w:sz w:val="22"/>
                <w:lang w:val="es-ES"/>
              </w:rPr>
              <w:t xml:space="preserve">aprueba </w:t>
            </w:r>
            <w:r w:rsidRPr="002D6508">
              <w:rPr>
                <w:sz w:val="22"/>
                <w:lang w:val="es-ES"/>
              </w:rPr>
              <w:t>el Documento 225.</w:t>
            </w:r>
          </w:p>
        </w:tc>
        <w:tc>
          <w:tcPr>
            <w:tcW w:w="1548" w:type="pct"/>
          </w:tcPr>
          <w:p w14:paraId="0DF7A5A1" w14:textId="7FD20FA8" w:rsidR="00967792" w:rsidRPr="00D2027A" w:rsidDel="009440F5" w:rsidRDefault="00967792" w:rsidP="00B53355">
            <w:pPr>
              <w:pStyle w:val="Tabletext"/>
              <w:rPr>
                <w:rFonts w:asciiTheme="majorBidi" w:hAnsiTheme="majorBidi" w:cstheme="majorBidi"/>
                <w:szCs w:val="24"/>
                <w:lang w:val="es-ES"/>
              </w:rPr>
            </w:pPr>
            <w:r w:rsidRPr="00D2027A">
              <w:rPr>
                <w:rFonts w:asciiTheme="majorBidi" w:hAnsiTheme="majorBidi" w:cstheme="majorBidi"/>
                <w:lang w:val="es-ES"/>
              </w:rPr>
              <w:lastRenderedPageBreak/>
              <w:t xml:space="preserve">La Secretaría de la UIT adopta las medidas oportunas para facilitar la lectura del Reglamento de Radiocomunicaciones mediante la introducción de encabezamientos en todas las páginas del </w:t>
            </w:r>
            <w:r w:rsidRPr="00266695">
              <w:rPr>
                <w:lang w:val="es-ES"/>
              </w:rPr>
              <w:t>Volumen</w:t>
            </w:r>
            <w:r w:rsidRPr="00D2027A">
              <w:rPr>
                <w:rFonts w:asciiTheme="majorBidi" w:hAnsiTheme="majorBidi" w:cstheme="majorBidi"/>
                <w:lang w:val="es-ES"/>
              </w:rPr>
              <w:t xml:space="preserve"> I que indiquen el título del correspondiente Capítulo.</w:t>
            </w:r>
          </w:p>
        </w:tc>
      </w:tr>
      <w:tr w:rsidR="00967792" w:rsidRPr="00D2027A" w14:paraId="6706CBEE" w14:textId="77777777" w:rsidTr="00924C8B">
        <w:trPr>
          <w:jc w:val="center"/>
        </w:trPr>
        <w:tc>
          <w:tcPr>
            <w:tcW w:w="183" w:type="pct"/>
          </w:tcPr>
          <w:p w14:paraId="1C8C2382" w14:textId="1CE871D2" w:rsidR="00967792" w:rsidRPr="00A616CA" w:rsidRDefault="00967792" w:rsidP="00B53355">
            <w:pPr>
              <w:pStyle w:val="Tabletext"/>
              <w:rPr>
                <w:lang w:val="es-ES"/>
              </w:rPr>
            </w:pPr>
            <w:r w:rsidRPr="00A616CA">
              <w:rPr>
                <w:lang w:val="es-ES"/>
              </w:rPr>
              <w:t>49</w:t>
            </w:r>
          </w:p>
        </w:tc>
        <w:tc>
          <w:tcPr>
            <w:tcW w:w="434" w:type="pct"/>
          </w:tcPr>
          <w:p w14:paraId="473AF24A" w14:textId="51042CA3" w:rsidR="00967792" w:rsidRPr="00A616CA" w:rsidRDefault="00967792" w:rsidP="00B53355">
            <w:pPr>
              <w:pStyle w:val="Tabletext"/>
              <w:rPr>
                <w:lang w:val="es-ES"/>
              </w:rPr>
            </w:pPr>
            <w:r w:rsidRPr="00A616CA">
              <w:rPr>
                <w:lang w:val="es-ES"/>
              </w:rPr>
              <w:t>CMR-15</w:t>
            </w:r>
          </w:p>
        </w:tc>
        <w:tc>
          <w:tcPr>
            <w:tcW w:w="523" w:type="pct"/>
          </w:tcPr>
          <w:p w14:paraId="7812E01D" w14:textId="072DB00D" w:rsidR="00967792" w:rsidRPr="00D2027A" w:rsidRDefault="00967792" w:rsidP="00B53355">
            <w:pPr>
              <w:pStyle w:val="Tabletext"/>
              <w:rPr>
                <w:rFonts w:asciiTheme="majorBidi" w:hAnsiTheme="majorBidi" w:cstheme="majorBidi"/>
                <w:bCs/>
                <w:szCs w:val="24"/>
                <w:lang w:val="es-ES"/>
              </w:rPr>
            </w:pPr>
            <w:r w:rsidRPr="00D2027A">
              <w:rPr>
                <w:rFonts w:asciiTheme="majorBidi" w:hAnsiTheme="majorBidi" w:cstheme="majorBidi"/>
                <w:bCs/>
                <w:szCs w:val="24"/>
                <w:lang w:val="es-ES"/>
              </w:rPr>
              <w:t>6ª Plenaria</w:t>
            </w:r>
            <w:r w:rsidR="002D6508">
              <w:rPr>
                <w:rFonts w:asciiTheme="majorBidi" w:hAnsiTheme="majorBidi" w:cstheme="majorBidi"/>
                <w:bCs/>
                <w:szCs w:val="24"/>
                <w:lang w:val="es-ES"/>
              </w:rPr>
              <w:br/>
            </w:r>
            <w:hyperlink r:id="rId174">
              <w:r w:rsidRPr="00D2027A">
                <w:rPr>
                  <w:rStyle w:val="Hyperlink"/>
                  <w:rFonts w:asciiTheme="majorBidi" w:hAnsiTheme="majorBidi" w:cstheme="majorBidi"/>
                  <w:bCs/>
                  <w:szCs w:val="24"/>
                  <w:lang w:val="es-ES"/>
                </w:rPr>
                <w:t>Doc. CMR15/4</w:t>
              </w:r>
              <w:r w:rsidRPr="00D2027A">
                <w:rPr>
                  <w:rStyle w:val="Hyperlink"/>
                  <w:bCs/>
                  <w:szCs w:val="24"/>
                  <w:lang w:val="es-ES"/>
                </w:rPr>
                <w:t>30</w:t>
              </w:r>
            </w:hyperlink>
          </w:p>
          <w:p w14:paraId="3B6DE656" w14:textId="39B3B492" w:rsidR="00967792" w:rsidRPr="00D2027A" w:rsidRDefault="00967792" w:rsidP="00B53355">
            <w:pPr>
              <w:pStyle w:val="Tabletext"/>
              <w:rPr>
                <w:rFonts w:asciiTheme="majorBidi" w:hAnsiTheme="majorBidi" w:cstheme="majorBidi"/>
                <w:bCs/>
                <w:szCs w:val="24"/>
                <w:lang w:val="es-ES"/>
              </w:rPr>
            </w:pPr>
            <w:r w:rsidRPr="00D2027A">
              <w:rPr>
                <w:rFonts w:asciiTheme="majorBidi" w:hAnsiTheme="majorBidi" w:cstheme="majorBidi"/>
                <w:bCs/>
                <w:szCs w:val="24"/>
                <w:lang w:val="es-ES"/>
              </w:rPr>
              <w:t xml:space="preserve">Aprobación </w:t>
            </w:r>
            <w:r w:rsidRPr="002D6508">
              <w:rPr>
                <w:lang w:val="es-ES"/>
              </w:rPr>
              <w:t>del</w:t>
            </w:r>
            <w:r w:rsidRPr="00D2027A">
              <w:rPr>
                <w:rFonts w:asciiTheme="majorBidi" w:hAnsiTheme="majorBidi" w:cstheme="majorBidi"/>
                <w:bCs/>
                <w:szCs w:val="24"/>
                <w:lang w:val="es-ES"/>
              </w:rPr>
              <w:t xml:space="preserve"> Doc</w:t>
            </w:r>
            <w:r w:rsidR="00536113">
              <w:rPr>
                <w:rFonts w:asciiTheme="majorBidi" w:hAnsiTheme="majorBidi" w:cstheme="majorBidi"/>
                <w:bCs/>
                <w:szCs w:val="24"/>
                <w:lang w:val="es-ES"/>
              </w:rPr>
              <w:t>.</w:t>
            </w:r>
            <w:r w:rsidRPr="00D2027A">
              <w:rPr>
                <w:rFonts w:asciiTheme="majorBidi" w:hAnsiTheme="majorBidi" w:cstheme="majorBidi"/>
                <w:bCs/>
                <w:szCs w:val="24"/>
                <w:lang w:val="es-ES"/>
              </w:rPr>
              <w:t xml:space="preserve"> 308</w:t>
            </w:r>
          </w:p>
        </w:tc>
        <w:tc>
          <w:tcPr>
            <w:tcW w:w="2312" w:type="pct"/>
          </w:tcPr>
          <w:p w14:paraId="05BB0D3A" w14:textId="77777777" w:rsidR="00967792" w:rsidRPr="002D6508" w:rsidRDefault="00967792" w:rsidP="00B53355">
            <w:pPr>
              <w:spacing w:before="40" w:after="40"/>
              <w:rPr>
                <w:sz w:val="22"/>
                <w:lang w:val="es-ES"/>
              </w:rPr>
            </w:pPr>
            <w:r w:rsidRPr="002D6508">
              <w:rPr>
                <w:sz w:val="22"/>
                <w:lang w:val="es-ES"/>
              </w:rPr>
              <w:t>2.9</w:t>
            </w:r>
            <w:r w:rsidRPr="002D6508">
              <w:rPr>
                <w:sz w:val="22"/>
                <w:lang w:val="es-ES"/>
              </w:rPr>
              <w:tab/>
              <w:t xml:space="preserve">La </w:t>
            </w:r>
            <w:r w:rsidRPr="002D6508">
              <w:rPr>
                <w:b/>
                <w:bCs/>
                <w:sz w:val="22"/>
                <w:lang w:val="es-ES"/>
              </w:rPr>
              <w:t>Presidenta de la Comisión 6</w:t>
            </w:r>
            <w:r w:rsidRPr="002D6508">
              <w:rPr>
                <w:sz w:val="22"/>
                <w:lang w:val="es-ES"/>
              </w:rPr>
              <w:t xml:space="preserve"> dice que en el Anexo al Documento 308 figuran las conclusiones de la Comisión sobre el punto 9.2 del orden del día en lo que respecta a la aplicación de las disposiciones del número </w:t>
            </w:r>
            <w:r w:rsidRPr="002D6508">
              <w:rPr>
                <w:b/>
                <w:bCs/>
                <w:sz w:val="22"/>
                <w:lang w:val="es-ES"/>
              </w:rPr>
              <w:t>9.19</w:t>
            </w:r>
            <w:r w:rsidRPr="002D6508">
              <w:rPr>
                <w:sz w:val="22"/>
                <w:lang w:val="es-ES"/>
              </w:rPr>
              <w:t xml:space="preserve"> del Reglamento de Radiocomunicaciones, y a nuevos elementos de datos para enlaces de pasarela HAPS.</w:t>
            </w:r>
          </w:p>
          <w:p w14:paraId="73F721E4" w14:textId="44B2718B" w:rsidR="00967792" w:rsidRPr="002D6508" w:rsidRDefault="00967792" w:rsidP="00B53355">
            <w:pPr>
              <w:spacing w:before="40" w:after="40"/>
              <w:rPr>
                <w:sz w:val="22"/>
                <w:lang w:val="es-ES"/>
              </w:rPr>
            </w:pPr>
            <w:r w:rsidRPr="002D6508">
              <w:rPr>
                <w:sz w:val="22"/>
                <w:lang w:val="es-ES"/>
              </w:rPr>
              <w:t>2.10</w:t>
            </w:r>
            <w:r w:rsidRPr="002D6508">
              <w:rPr>
                <w:sz w:val="22"/>
                <w:lang w:val="es-ES"/>
              </w:rPr>
              <w:tab/>
              <w:t xml:space="preserve">El </w:t>
            </w:r>
            <w:r w:rsidRPr="002D6508">
              <w:rPr>
                <w:b/>
                <w:bCs/>
                <w:sz w:val="22"/>
                <w:lang w:val="es-ES"/>
              </w:rPr>
              <w:t>delegado de la República Islámica del Irán</w:t>
            </w:r>
            <w:r w:rsidRPr="002D6508">
              <w:rPr>
                <w:sz w:val="22"/>
                <w:lang w:val="es-ES"/>
              </w:rPr>
              <w:t xml:space="preserve"> señala que la situación con respecto a los valores de dfp no es satisfactoria desde hace mucho tiempo y propone que se encargue al Director de la BR que señale el asunto a la atención de las Comisiones de Estudio competentes del UIT</w:t>
            </w:r>
            <w:r w:rsidR="002D6508">
              <w:rPr>
                <w:sz w:val="22"/>
                <w:lang w:val="es-ES"/>
              </w:rPr>
              <w:noBreakHyphen/>
            </w:r>
            <w:r w:rsidRPr="002D6508">
              <w:rPr>
                <w:sz w:val="22"/>
                <w:lang w:val="es-ES"/>
              </w:rPr>
              <w:t>R y determine valores de dfp para las regiones en cuestión. También podrían estudiarse los elementos de datos enumerados en la Carta Circular CR/345, y presentar las conclusiones correspondientes a la siguiente CMR. También sería preferible sustituir «Las Administraciones que deseen desplegar enlaces de pasarela HAPS en las bandas de frecuencias 6 440-6 520 MHz y 6 560</w:t>
            </w:r>
            <w:r w:rsidRPr="002D6508">
              <w:rPr>
                <w:sz w:val="22"/>
                <w:lang w:val="es-ES"/>
              </w:rPr>
              <w:noBreakHyphen/>
              <w:t xml:space="preserve">6 640 MHz deben seguir utilizando...» en el punto B del Anexo </w:t>
            </w:r>
            <w:r w:rsidRPr="002D6508">
              <w:rPr>
                <w:sz w:val="22"/>
                <w:lang w:val="es-ES"/>
              </w:rPr>
              <w:lastRenderedPageBreak/>
              <w:t>al Documento 308 por «Se somete a la consideración de las Administraciones que deseen desplegar enlaces de pasarela HAPS en las bandas de frecuencias 6 440-6 520 MHz y 6 560-6 640 MHz la conveniencia de seguir utilizando».</w:t>
            </w:r>
          </w:p>
          <w:p w14:paraId="6ADC0E07" w14:textId="77777777" w:rsidR="00967792" w:rsidRPr="002D6508" w:rsidRDefault="00967792" w:rsidP="00B53355">
            <w:pPr>
              <w:spacing w:before="40" w:after="40"/>
              <w:rPr>
                <w:sz w:val="22"/>
                <w:lang w:val="es-ES"/>
              </w:rPr>
            </w:pPr>
            <w:r w:rsidRPr="002D6508">
              <w:rPr>
                <w:sz w:val="22"/>
                <w:lang w:val="es-ES"/>
              </w:rPr>
              <w:t>2.11</w:t>
            </w:r>
            <w:r w:rsidRPr="002D6508">
              <w:rPr>
                <w:sz w:val="22"/>
                <w:lang w:val="es-ES"/>
              </w:rPr>
              <w:tab/>
              <w:t xml:space="preserve">La </w:t>
            </w:r>
            <w:r w:rsidRPr="002D6508">
              <w:rPr>
                <w:b/>
                <w:bCs/>
                <w:sz w:val="22"/>
                <w:lang w:val="es-ES"/>
              </w:rPr>
              <w:t>Presidenta de la Comisión 6</w:t>
            </w:r>
            <w:r w:rsidRPr="002D6508">
              <w:rPr>
                <w:sz w:val="22"/>
                <w:lang w:val="es-ES"/>
              </w:rPr>
              <w:t xml:space="preserve"> dice que las inquietudes expresadas por el delegado de la República Islámica del Irán se tienen en cuenta en la oración «que la Conferencia invite a las Comisiones de Estudio del UIT-R pertinentes a que identifiquen los valores de dfp aplicables» en el punto A 2 del Anexo.</w:t>
            </w:r>
          </w:p>
          <w:p w14:paraId="17131975" w14:textId="77777777" w:rsidR="00967792" w:rsidRPr="002D6508" w:rsidRDefault="00967792" w:rsidP="00B53355">
            <w:pPr>
              <w:spacing w:before="40" w:after="40"/>
              <w:rPr>
                <w:sz w:val="22"/>
                <w:lang w:val="es-ES"/>
              </w:rPr>
            </w:pPr>
            <w:r w:rsidRPr="002D6508">
              <w:rPr>
                <w:sz w:val="22"/>
                <w:lang w:val="es-ES"/>
              </w:rPr>
              <w:t>2.12</w:t>
            </w:r>
            <w:r w:rsidRPr="002D6508">
              <w:rPr>
                <w:sz w:val="22"/>
                <w:lang w:val="es-ES"/>
              </w:rPr>
              <w:tab/>
              <w:t xml:space="preserve">El </w:t>
            </w:r>
            <w:r w:rsidRPr="002D6508">
              <w:rPr>
                <w:b/>
                <w:bCs/>
                <w:sz w:val="22"/>
                <w:lang w:val="es-ES"/>
              </w:rPr>
              <w:t>Presidente</w:t>
            </w:r>
            <w:r w:rsidRPr="002D6508">
              <w:rPr>
                <w:sz w:val="22"/>
                <w:lang w:val="es-ES"/>
              </w:rPr>
              <w:t xml:space="preserve"> propone que, habida cuenta de esa explicación, la Plenaria haga suyas las conclusiones de la Comisión 6 que figuran en el Anexo al Documento 308 y que, por lo tanto, acuerde lo siguiente:</w:t>
            </w:r>
          </w:p>
          <w:p w14:paraId="52C45B2B" w14:textId="77777777" w:rsidR="00967792" w:rsidRPr="002D6508" w:rsidRDefault="00967792" w:rsidP="00B53355">
            <w:pPr>
              <w:spacing w:before="40" w:after="40"/>
              <w:rPr>
                <w:b/>
                <w:sz w:val="22"/>
                <w:lang w:val="es-ES"/>
              </w:rPr>
            </w:pPr>
            <w:r w:rsidRPr="002D6508">
              <w:rPr>
                <w:b/>
                <w:sz w:val="22"/>
                <w:lang w:val="es-ES"/>
              </w:rPr>
              <w:t>A)</w:t>
            </w:r>
            <w:r w:rsidRPr="002D6508">
              <w:rPr>
                <w:b/>
                <w:sz w:val="22"/>
                <w:lang w:val="es-ES"/>
              </w:rPr>
              <w:tab/>
              <w:t>Aplicación de la disposición número 9.19 del Reglamento de Radiocomunicaciones a los servicios terrenales</w:t>
            </w:r>
          </w:p>
          <w:p w14:paraId="51EA6D44" w14:textId="77777777" w:rsidR="00967792" w:rsidRPr="002D6508" w:rsidRDefault="00967792" w:rsidP="00B53355">
            <w:pPr>
              <w:spacing w:before="40" w:after="40"/>
              <w:rPr>
                <w:sz w:val="22"/>
                <w:lang w:val="es-ES"/>
              </w:rPr>
            </w:pPr>
            <w:r w:rsidRPr="002D6508">
              <w:rPr>
                <w:sz w:val="22"/>
                <w:lang w:val="es-ES"/>
              </w:rPr>
              <w:t>La Conferencia ha acordado:</w:t>
            </w:r>
          </w:p>
          <w:p w14:paraId="296EB214" w14:textId="77777777" w:rsidR="00967792" w:rsidRPr="002D6508" w:rsidRDefault="00967792" w:rsidP="00B53355">
            <w:pPr>
              <w:spacing w:before="40" w:after="40"/>
              <w:rPr>
                <w:sz w:val="22"/>
                <w:lang w:val="es-ES"/>
              </w:rPr>
            </w:pPr>
            <w:r w:rsidRPr="002D6508">
              <w:rPr>
                <w:sz w:val="22"/>
                <w:lang w:val="es-ES"/>
              </w:rPr>
              <w:t>1</w:t>
            </w:r>
            <w:r w:rsidRPr="002D6508">
              <w:rPr>
                <w:sz w:val="22"/>
                <w:lang w:val="es-ES"/>
              </w:rPr>
              <w:tab/>
              <w:t>confirmar la práctica actual de la Oficina para la aplicación de la disposición del número </w:t>
            </w:r>
            <w:r w:rsidRPr="002D6508">
              <w:rPr>
                <w:b/>
                <w:bCs/>
                <w:sz w:val="22"/>
                <w:lang w:val="es-ES"/>
              </w:rPr>
              <w:t>9.19</w:t>
            </w:r>
            <w:r w:rsidRPr="002D6508">
              <w:rPr>
                <w:sz w:val="22"/>
                <w:lang w:val="es-ES"/>
              </w:rPr>
              <w:t xml:space="preserve"> del Reglamento de Radiocomunicaciones que atañe a la coordinación de las estaciones terrenales transmisoras con las estaciones terrenas típicas dentro de la zona de servicio de una estación espacial del servicio de radiodifusión por satélite en las bandas compartidas con igualdad de derechos entre estos servicios como sigue:</w:t>
            </w:r>
          </w:p>
          <w:p w14:paraId="16B28415" w14:textId="4D18A5E4" w:rsidR="00967792" w:rsidRPr="002D6508" w:rsidRDefault="00967792" w:rsidP="00B53355">
            <w:pPr>
              <w:spacing w:before="40" w:after="40"/>
              <w:rPr>
                <w:sz w:val="22"/>
                <w:lang w:val="es-ES"/>
              </w:rPr>
            </w:pPr>
            <w:r w:rsidRPr="002D6508">
              <w:rPr>
                <w:sz w:val="22"/>
                <w:lang w:val="es-ES"/>
              </w:rPr>
              <w:t xml:space="preserve">«Dado que sólo se dispone de los valores umbral de dfp para la banda 11,7-12,7 GHz y dado que a las demás bandas se pueden aplicar distintos criterios y condiciones de propagación, al examinar las notificaciones de frecuencias de estaciones terrenales en virtud del número </w:t>
            </w:r>
            <w:r w:rsidRPr="002D6508">
              <w:rPr>
                <w:b/>
                <w:bCs/>
                <w:sz w:val="22"/>
                <w:lang w:val="es-ES"/>
              </w:rPr>
              <w:t>9.19</w:t>
            </w:r>
            <w:r w:rsidRPr="002D6508">
              <w:rPr>
                <w:sz w:val="22"/>
                <w:lang w:val="es-ES"/>
              </w:rPr>
              <w:t>, la Oficina determina en la actualidad los requisitos de coordinación utilizando únicamente el solapamiento de frecuencias como umbral de coordinación para las bandas siguientes: 620</w:t>
            </w:r>
            <w:r w:rsidR="009B6AB9">
              <w:rPr>
                <w:sz w:val="22"/>
                <w:lang w:val="es-ES"/>
              </w:rPr>
              <w:noBreakHyphen/>
            </w:r>
            <w:r w:rsidRPr="002D6508">
              <w:rPr>
                <w:sz w:val="22"/>
                <w:lang w:val="es-ES"/>
              </w:rPr>
              <w:t>790</w:t>
            </w:r>
            <w:r w:rsidR="009B6AB9">
              <w:rPr>
                <w:sz w:val="22"/>
                <w:lang w:val="es-ES"/>
              </w:rPr>
              <w:t> </w:t>
            </w:r>
            <w:r w:rsidRPr="002D6508">
              <w:rPr>
                <w:sz w:val="22"/>
                <w:lang w:val="es-ES"/>
              </w:rPr>
              <w:t>MHz, 1 452</w:t>
            </w:r>
            <w:r w:rsidRPr="002D6508">
              <w:rPr>
                <w:sz w:val="22"/>
                <w:lang w:val="es-ES"/>
              </w:rPr>
              <w:noBreakHyphen/>
              <w:t>1 492 MHz, 2 310-2 360 MHz, 2 520</w:t>
            </w:r>
            <w:r w:rsidR="009B6AB9">
              <w:rPr>
                <w:sz w:val="22"/>
                <w:lang w:val="es-ES"/>
              </w:rPr>
              <w:noBreakHyphen/>
            </w:r>
            <w:r w:rsidRPr="002D6508">
              <w:rPr>
                <w:sz w:val="22"/>
                <w:lang w:val="es-ES"/>
              </w:rPr>
              <w:t>2 670</w:t>
            </w:r>
            <w:r w:rsidR="009B6AB9">
              <w:rPr>
                <w:sz w:val="22"/>
                <w:lang w:val="es-ES"/>
              </w:rPr>
              <w:t> </w:t>
            </w:r>
            <w:r w:rsidRPr="002D6508">
              <w:rPr>
                <w:sz w:val="22"/>
                <w:lang w:val="es-ES"/>
              </w:rPr>
              <w:t>MHz, 17,7</w:t>
            </w:r>
            <w:r w:rsidR="009B6AB9">
              <w:rPr>
                <w:sz w:val="22"/>
                <w:lang w:val="es-ES"/>
              </w:rPr>
              <w:noBreakHyphen/>
            </w:r>
            <w:r w:rsidRPr="002D6508">
              <w:rPr>
                <w:sz w:val="22"/>
                <w:lang w:val="es-ES"/>
              </w:rPr>
              <w:t>17,8 GHz, 40,5-42,5 GHz y 74</w:t>
            </w:r>
            <w:r w:rsidRPr="002D6508">
              <w:rPr>
                <w:sz w:val="22"/>
                <w:lang w:val="es-ES"/>
              </w:rPr>
              <w:noBreakHyphen/>
              <w:t>76 GHz»</w:t>
            </w:r>
            <w:r w:rsidR="009B6AB9" w:rsidRPr="002D6508">
              <w:rPr>
                <w:sz w:val="22"/>
                <w:lang w:val="es-ES"/>
              </w:rPr>
              <w:t>.</w:t>
            </w:r>
          </w:p>
          <w:p w14:paraId="5981D2CC" w14:textId="77777777" w:rsidR="00967792" w:rsidRPr="002D6508" w:rsidRDefault="00967792" w:rsidP="00B53355">
            <w:pPr>
              <w:spacing w:before="40" w:after="40"/>
              <w:rPr>
                <w:sz w:val="22"/>
                <w:lang w:val="es-ES"/>
              </w:rPr>
            </w:pPr>
            <w:r w:rsidRPr="002D6508">
              <w:rPr>
                <w:sz w:val="22"/>
                <w:lang w:val="es-ES"/>
              </w:rPr>
              <w:t>2</w:t>
            </w:r>
            <w:r w:rsidRPr="002D6508">
              <w:rPr>
                <w:sz w:val="22"/>
                <w:lang w:val="es-ES"/>
              </w:rPr>
              <w:tab/>
              <w:t xml:space="preserve">que la Conferencia invite a las Comisiones de Estudio del UIT-R pertinentes a que identifiquen los valores de dfp aplicables y </w:t>
            </w:r>
            <w:r w:rsidRPr="002D6508">
              <w:rPr>
                <w:sz w:val="22"/>
                <w:lang w:val="es-ES"/>
              </w:rPr>
              <w:lastRenderedPageBreak/>
              <w:t xml:space="preserve">los métodos de cálculo para determinar los requisitos de coordinación en virtud del número </w:t>
            </w:r>
            <w:r w:rsidRPr="002D6508">
              <w:rPr>
                <w:b/>
                <w:bCs/>
                <w:sz w:val="22"/>
                <w:lang w:val="es-ES"/>
              </w:rPr>
              <w:t>9.19</w:t>
            </w:r>
            <w:r w:rsidRPr="002D6508">
              <w:rPr>
                <w:sz w:val="22"/>
                <w:lang w:val="es-ES"/>
              </w:rPr>
              <w:t xml:space="preserve"> en las bandas de frecuencias pertinentes, incluidas las bandas 620-790 MHz, 1 452-1 492 MHz, 2 310-2 360 MHz, 2 520-2 670 MHz, 17,7-17,8 GHz, 40,5-42,5 GHz y 74</w:t>
            </w:r>
            <w:r w:rsidRPr="002D6508">
              <w:rPr>
                <w:sz w:val="22"/>
                <w:lang w:val="es-ES"/>
              </w:rPr>
              <w:noBreakHyphen/>
              <w:t>76 GHz.</w:t>
            </w:r>
          </w:p>
          <w:p w14:paraId="6480CCA6" w14:textId="77777777" w:rsidR="00967792" w:rsidRPr="002D6508" w:rsidRDefault="00967792" w:rsidP="00B53355">
            <w:pPr>
              <w:spacing w:before="40" w:after="40"/>
              <w:rPr>
                <w:b/>
                <w:sz w:val="22"/>
                <w:lang w:val="es-ES"/>
              </w:rPr>
            </w:pPr>
            <w:r w:rsidRPr="002D6508">
              <w:rPr>
                <w:b/>
                <w:sz w:val="22"/>
                <w:lang w:val="es-ES"/>
              </w:rPr>
              <w:t>B)</w:t>
            </w:r>
            <w:r w:rsidRPr="002D6508">
              <w:rPr>
                <w:b/>
                <w:sz w:val="22"/>
                <w:lang w:val="es-ES"/>
              </w:rPr>
              <w:tab/>
            </w:r>
            <w:r w:rsidRPr="002D6508">
              <w:rPr>
                <w:b/>
                <w:bCs/>
                <w:sz w:val="22"/>
                <w:lang w:val="es-ES"/>
              </w:rPr>
              <w:t>Nuevos datos para los enlaces de pasarela HAPS</w:t>
            </w:r>
          </w:p>
          <w:p w14:paraId="3C37F5C4" w14:textId="77777777" w:rsidR="00967792" w:rsidRPr="002D6508" w:rsidRDefault="00967792" w:rsidP="00B53355">
            <w:pPr>
              <w:spacing w:before="40" w:after="40"/>
              <w:rPr>
                <w:sz w:val="22"/>
                <w:lang w:val="es-ES"/>
              </w:rPr>
            </w:pPr>
            <w:r w:rsidRPr="002D6508">
              <w:rPr>
                <w:sz w:val="22"/>
                <w:lang w:val="es-ES"/>
              </w:rPr>
              <w:t xml:space="preserve">La Conferencia ha acordado que no se precisan cambios en el Reglamento de Radiocomunicaciones para incluir los datos enumerados en la Carta Circular de la BR CR/345 del 8 de mayo de 2013 para la notificación de los enlaces de pasarela de las estaciones de plataformas a gran altitud (HAPS) en las bandas 6 440-6 520 MHz y 6 560-6 640 MHz en determinados países, de conformidad con el número </w:t>
            </w:r>
            <w:r w:rsidRPr="002D6508">
              <w:rPr>
                <w:b/>
                <w:bCs/>
                <w:sz w:val="22"/>
                <w:lang w:val="es-ES"/>
              </w:rPr>
              <w:t>5.457</w:t>
            </w:r>
            <w:r w:rsidRPr="002D6508">
              <w:rPr>
                <w:sz w:val="22"/>
                <w:lang w:val="es-ES"/>
              </w:rPr>
              <w:t xml:space="preserve"> y de la Resolución </w:t>
            </w:r>
            <w:r w:rsidRPr="002D6508">
              <w:rPr>
                <w:b/>
                <w:bCs/>
                <w:sz w:val="22"/>
                <w:lang w:val="es-ES"/>
              </w:rPr>
              <w:t>150 (CMR-12)</w:t>
            </w:r>
            <w:r w:rsidRPr="002D6508">
              <w:rPr>
                <w:sz w:val="22"/>
                <w:lang w:val="es-ES"/>
              </w:rPr>
              <w:t xml:space="preserve"> asociada.</w:t>
            </w:r>
          </w:p>
          <w:p w14:paraId="49DC248A" w14:textId="77777777" w:rsidR="00967792" w:rsidRPr="002D6508" w:rsidRDefault="00967792" w:rsidP="00B53355">
            <w:pPr>
              <w:spacing w:before="40" w:after="40"/>
              <w:rPr>
                <w:sz w:val="22"/>
                <w:lang w:val="es-ES"/>
              </w:rPr>
            </w:pPr>
            <w:r w:rsidRPr="002D6508">
              <w:rPr>
                <w:sz w:val="22"/>
                <w:lang w:val="es-ES"/>
              </w:rPr>
              <w:t>Las Administraciones que deseen desplegar enlaces de pasarela HAPS en las bandas de frecuencias 6 440-6 520 MHz y 6 560-6 640 MHz deben seguir utilizando los elementos de datos enumerados en la citada Carta Circular de forma provisional hasta que una Conferencia Mundial de Radiocomunicaciones competente incluya los datos necesarios en el Apéndice 4 del Reglamento de Radiocomunicaciones.</w:t>
            </w:r>
          </w:p>
          <w:p w14:paraId="022A48D6" w14:textId="58A34B8D" w:rsidR="00967792" w:rsidRPr="002D6508" w:rsidRDefault="00967792" w:rsidP="00B53355">
            <w:pPr>
              <w:spacing w:before="40" w:after="40"/>
              <w:rPr>
                <w:sz w:val="22"/>
                <w:lang w:val="es-ES"/>
              </w:rPr>
            </w:pPr>
            <w:r w:rsidRPr="002D6508">
              <w:rPr>
                <w:sz w:val="22"/>
                <w:lang w:val="es-ES"/>
              </w:rPr>
              <w:t>2.13</w:t>
            </w:r>
            <w:r w:rsidRPr="002D6508">
              <w:rPr>
                <w:sz w:val="22"/>
                <w:lang w:val="es-ES"/>
              </w:rPr>
              <w:tab/>
              <w:t xml:space="preserve">Así se </w:t>
            </w:r>
            <w:r w:rsidRPr="002D6508">
              <w:rPr>
                <w:b/>
                <w:bCs/>
                <w:sz w:val="22"/>
                <w:lang w:val="es-ES"/>
              </w:rPr>
              <w:t>acuerda</w:t>
            </w:r>
            <w:r w:rsidRPr="002D6508">
              <w:rPr>
                <w:sz w:val="22"/>
                <w:lang w:val="es-ES"/>
              </w:rPr>
              <w:t>.</w:t>
            </w:r>
          </w:p>
        </w:tc>
        <w:tc>
          <w:tcPr>
            <w:tcW w:w="1548" w:type="pct"/>
          </w:tcPr>
          <w:p w14:paraId="103D9B0E" w14:textId="05D30674" w:rsidR="00967792" w:rsidRPr="00D2027A" w:rsidRDefault="00967792" w:rsidP="00B53355">
            <w:pPr>
              <w:pStyle w:val="Tabletext"/>
              <w:rPr>
                <w:rFonts w:asciiTheme="majorBidi" w:hAnsiTheme="majorBidi" w:cstheme="majorBidi"/>
                <w:lang w:val="es-ES"/>
              </w:rPr>
            </w:pPr>
            <w:r w:rsidRPr="00D2027A">
              <w:rPr>
                <w:rFonts w:asciiTheme="majorBidi" w:hAnsiTheme="majorBidi" w:cstheme="majorBidi"/>
                <w:lang w:val="es-ES"/>
              </w:rPr>
              <w:lastRenderedPageBreak/>
              <w:t xml:space="preserve">La Junta aprueba la Regla de Procedimiento </w:t>
            </w:r>
            <w:r w:rsidRPr="00266695">
              <w:rPr>
                <w:lang w:val="es-ES"/>
              </w:rPr>
              <w:t>pertinente</w:t>
            </w:r>
            <w:r w:rsidRPr="00D2027A">
              <w:rPr>
                <w:rFonts w:asciiTheme="majorBidi" w:hAnsiTheme="majorBidi" w:cstheme="majorBidi"/>
                <w:lang w:val="es-ES"/>
              </w:rPr>
              <w:t xml:space="preserve"> correspondiente al número </w:t>
            </w:r>
            <w:r w:rsidRPr="00D2027A">
              <w:rPr>
                <w:rFonts w:asciiTheme="majorBidi" w:hAnsiTheme="majorBidi" w:cstheme="majorBidi"/>
                <w:b/>
                <w:bCs/>
                <w:lang w:val="es-ES"/>
              </w:rPr>
              <w:t>9.19</w:t>
            </w:r>
            <w:r w:rsidRPr="00D2027A">
              <w:rPr>
                <w:rFonts w:asciiTheme="majorBidi" w:hAnsiTheme="majorBidi" w:cstheme="majorBidi"/>
                <w:lang w:val="es-ES"/>
              </w:rPr>
              <w:t xml:space="preserve"> en su 74ª</w:t>
            </w:r>
            <w:r w:rsidR="002D6508">
              <w:rPr>
                <w:rFonts w:asciiTheme="majorBidi" w:hAnsiTheme="majorBidi" w:cstheme="majorBidi"/>
                <w:lang w:val="es-ES"/>
              </w:rPr>
              <w:t> </w:t>
            </w:r>
            <w:r w:rsidRPr="00D2027A">
              <w:rPr>
                <w:rFonts w:asciiTheme="majorBidi" w:hAnsiTheme="majorBidi" w:cstheme="majorBidi"/>
                <w:lang w:val="es-ES"/>
              </w:rPr>
              <w:t>reunión (</w:t>
            </w:r>
            <w:hyperlink r:id="rId175" w:history="1">
              <w:r w:rsidRPr="00D2027A">
                <w:rPr>
                  <w:rStyle w:val="Hyperlink"/>
                  <w:rFonts w:asciiTheme="majorBidi" w:hAnsiTheme="majorBidi" w:cstheme="majorBidi"/>
                  <w:lang w:val="es-ES"/>
                </w:rPr>
                <w:t>CR/417</w:t>
              </w:r>
            </w:hyperlink>
            <w:r w:rsidRPr="00D2027A">
              <w:rPr>
                <w:rFonts w:asciiTheme="majorBidi" w:hAnsiTheme="majorBidi" w:cstheme="majorBidi"/>
                <w:lang w:val="es-ES"/>
              </w:rPr>
              <w:t>).</w:t>
            </w:r>
          </w:p>
          <w:p w14:paraId="43E298A5" w14:textId="7F2BF83B" w:rsidR="00967792" w:rsidRPr="00D2027A" w:rsidDel="009440F5" w:rsidRDefault="00967792" w:rsidP="00B53355">
            <w:pPr>
              <w:pStyle w:val="Tabletext"/>
              <w:rPr>
                <w:rFonts w:asciiTheme="majorBidi" w:hAnsiTheme="majorBidi" w:cstheme="majorBidi"/>
                <w:szCs w:val="24"/>
                <w:lang w:val="es-ES"/>
              </w:rPr>
            </w:pPr>
            <w:r w:rsidRPr="00D2027A">
              <w:rPr>
                <w:rFonts w:asciiTheme="majorBidi" w:hAnsiTheme="majorBidi" w:cstheme="majorBidi"/>
                <w:lang w:val="es-ES"/>
              </w:rPr>
              <w:t>La Junta decide que la decisión figure como nota en la Regla de Procedimiento correspondiente al núm</w:t>
            </w:r>
            <w:r w:rsidR="002D6508">
              <w:rPr>
                <w:rFonts w:asciiTheme="majorBidi" w:hAnsiTheme="majorBidi" w:cstheme="majorBidi"/>
                <w:lang w:val="es-ES"/>
              </w:rPr>
              <w:t>ero</w:t>
            </w:r>
            <w:r w:rsidRPr="00D2027A">
              <w:rPr>
                <w:rFonts w:asciiTheme="majorBidi" w:hAnsiTheme="majorBidi" w:cstheme="majorBidi"/>
                <w:lang w:val="es-ES"/>
              </w:rPr>
              <w:t xml:space="preserve"> </w:t>
            </w:r>
            <w:r w:rsidRPr="00D2027A">
              <w:rPr>
                <w:rFonts w:asciiTheme="majorBidi" w:hAnsiTheme="majorBidi" w:cstheme="majorBidi"/>
                <w:b/>
                <w:bCs/>
                <w:lang w:val="es-ES"/>
              </w:rPr>
              <w:t>9.19</w:t>
            </w:r>
            <w:r w:rsidRPr="00D2027A">
              <w:rPr>
                <w:rFonts w:asciiTheme="majorBidi" w:hAnsiTheme="majorBidi" w:cstheme="majorBidi"/>
                <w:lang w:val="es-ES"/>
              </w:rPr>
              <w:t xml:space="preserve"> del RR en su 73ª</w:t>
            </w:r>
            <w:r w:rsidR="002D6508">
              <w:rPr>
                <w:rFonts w:asciiTheme="majorBidi" w:hAnsiTheme="majorBidi" w:cstheme="majorBidi"/>
                <w:lang w:val="es-ES"/>
              </w:rPr>
              <w:t> </w:t>
            </w:r>
            <w:r w:rsidRPr="00D2027A">
              <w:rPr>
                <w:rFonts w:asciiTheme="majorBidi" w:hAnsiTheme="majorBidi" w:cstheme="majorBidi"/>
                <w:lang w:val="es-ES"/>
              </w:rPr>
              <w:t>reunión (</w:t>
            </w:r>
            <w:hyperlink r:id="rId176" w:history="1">
              <w:r w:rsidRPr="00D2027A">
                <w:rPr>
                  <w:rStyle w:val="Hyperlink"/>
                  <w:rFonts w:asciiTheme="majorBidi" w:hAnsiTheme="majorBidi" w:cstheme="majorBidi"/>
                  <w:lang w:val="es-ES"/>
                </w:rPr>
                <w:t>CR/412</w:t>
              </w:r>
            </w:hyperlink>
            <w:r w:rsidRPr="00D2027A">
              <w:rPr>
                <w:rFonts w:asciiTheme="majorBidi" w:hAnsiTheme="majorBidi" w:cstheme="majorBidi"/>
                <w:lang w:val="es-ES"/>
              </w:rPr>
              <w:t>).</w:t>
            </w:r>
          </w:p>
        </w:tc>
      </w:tr>
      <w:tr w:rsidR="00967792" w:rsidRPr="00D2027A" w14:paraId="0A314C38" w14:textId="77777777" w:rsidTr="00924C8B">
        <w:trPr>
          <w:jc w:val="center"/>
        </w:trPr>
        <w:tc>
          <w:tcPr>
            <w:tcW w:w="183" w:type="pct"/>
          </w:tcPr>
          <w:p w14:paraId="51E55BA8" w14:textId="23E8DCB3" w:rsidR="00967792" w:rsidRPr="00A616CA" w:rsidRDefault="00967792" w:rsidP="00B53355">
            <w:pPr>
              <w:pStyle w:val="Tabletext"/>
              <w:rPr>
                <w:lang w:val="es-ES"/>
              </w:rPr>
            </w:pPr>
            <w:r w:rsidRPr="00A616CA">
              <w:rPr>
                <w:lang w:val="es-ES"/>
              </w:rPr>
              <w:lastRenderedPageBreak/>
              <w:t>50</w:t>
            </w:r>
          </w:p>
        </w:tc>
        <w:tc>
          <w:tcPr>
            <w:tcW w:w="434" w:type="pct"/>
          </w:tcPr>
          <w:p w14:paraId="66FA26E0" w14:textId="2E9A1F3F" w:rsidR="00967792" w:rsidRPr="00A616CA" w:rsidRDefault="00967792" w:rsidP="00B53355">
            <w:pPr>
              <w:pStyle w:val="Tabletext"/>
              <w:rPr>
                <w:lang w:val="es-ES"/>
              </w:rPr>
            </w:pPr>
            <w:r w:rsidRPr="00A616CA">
              <w:rPr>
                <w:lang w:val="es-ES"/>
              </w:rPr>
              <w:t>CMR-15</w:t>
            </w:r>
          </w:p>
        </w:tc>
        <w:tc>
          <w:tcPr>
            <w:tcW w:w="523" w:type="pct"/>
          </w:tcPr>
          <w:p w14:paraId="25B26054" w14:textId="6216CC48" w:rsidR="00967792" w:rsidRPr="00D2027A" w:rsidRDefault="00967792" w:rsidP="00B53355">
            <w:pPr>
              <w:pStyle w:val="Tabletext"/>
              <w:rPr>
                <w:rFonts w:asciiTheme="majorBidi" w:hAnsiTheme="majorBidi" w:cstheme="majorBidi"/>
                <w:bCs/>
                <w:szCs w:val="24"/>
                <w:lang w:val="es-ES"/>
              </w:rPr>
            </w:pPr>
            <w:r w:rsidRPr="00D2027A">
              <w:rPr>
                <w:rFonts w:asciiTheme="majorBidi" w:hAnsiTheme="majorBidi" w:cstheme="majorBidi"/>
                <w:bCs/>
                <w:szCs w:val="24"/>
                <w:lang w:val="es-ES"/>
              </w:rPr>
              <w:t>6</w:t>
            </w:r>
            <w:r w:rsidRPr="002D6508">
              <w:rPr>
                <w:rFonts w:asciiTheme="majorBidi" w:hAnsiTheme="majorBidi" w:cstheme="majorBidi"/>
                <w:bCs/>
                <w:szCs w:val="24"/>
                <w:lang w:val="es-ES"/>
              </w:rPr>
              <w:t>ª</w:t>
            </w:r>
            <w:r w:rsidRPr="00D2027A">
              <w:rPr>
                <w:rFonts w:asciiTheme="majorBidi" w:hAnsiTheme="majorBidi" w:cstheme="majorBidi"/>
                <w:bCs/>
                <w:szCs w:val="24"/>
                <w:lang w:val="es-ES"/>
              </w:rPr>
              <w:t xml:space="preserve"> Plenaria</w:t>
            </w:r>
            <w:r w:rsidR="002D6508">
              <w:rPr>
                <w:rFonts w:asciiTheme="majorBidi" w:hAnsiTheme="majorBidi" w:cstheme="majorBidi"/>
                <w:bCs/>
                <w:szCs w:val="24"/>
                <w:lang w:val="es-ES"/>
              </w:rPr>
              <w:br/>
            </w:r>
            <w:hyperlink r:id="rId177">
              <w:r w:rsidRPr="00D2027A">
                <w:rPr>
                  <w:rStyle w:val="Hyperlink"/>
                  <w:rFonts w:asciiTheme="majorBidi" w:hAnsiTheme="majorBidi" w:cstheme="majorBidi"/>
                  <w:bCs/>
                  <w:szCs w:val="24"/>
                  <w:lang w:val="es-ES"/>
                </w:rPr>
                <w:t>Doc</w:t>
              </w:r>
              <w:r w:rsidR="002D6508">
                <w:rPr>
                  <w:rStyle w:val="Hyperlink"/>
                  <w:rFonts w:asciiTheme="majorBidi" w:hAnsiTheme="majorBidi" w:cstheme="majorBidi"/>
                  <w:bCs/>
                  <w:szCs w:val="24"/>
                  <w:lang w:val="es-ES"/>
                </w:rPr>
                <w:t>.</w:t>
              </w:r>
              <w:r w:rsidRPr="00D2027A">
                <w:rPr>
                  <w:rStyle w:val="Hyperlink"/>
                  <w:rFonts w:asciiTheme="majorBidi" w:hAnsiTheme="majorBidi" w:cstheme="majorBidi"/>
                  <w:bCs/>
                  <w:szCs w:val="24"/>
                  <w:lang w:val="es-ES"/>
                </w:rPr>
                <w:t xml:space="preserve"> CMR15/430</w:t>
              </w:r>
            </w:hyperlink>
          </w:p>
        </w:tc>
        <w:tc>
          <w:tcPr>
            <w:tcW w:w="2312" w:type="pct"/>
          </w:tcPr>
          <w:p w14:paraId="46177002" w14:textId="77777777" w:rsidR="00967792" w:rsidRPr="002D6508" w:rsidRDefault="00967792" w:rsidP="00B53355">
            <w:pPr>
              <w:spacing w:before="40" w:after="40"/>
              <w:rPr>
                <w:sz w:val="22"/>
                <w:lang w:val="es-ES"/>
              </w:rPr>
            </w:pPr>
            <w:r w:rsidRPr="002D6508">
              <w:rPr>
                <w:sz w:val="22"/>
                <w:lang w:val="es-ES"/>
              </w:rPr>
              <w:t>8.1</w:t>
            </w:r>
            <w:r w:rsidRPr="002D6508">
              <w:rPr>
                <w:sz w:val="22"/>
                <w:lang w:val="es-ES"/>
              </w:rPr>
              <w:tab/>
              <w:t>El</w:t>
            </w:r>
            <w:r w:rsidRPr="002D6508">
              <w:rPr>
                <w:b/>
                <w:bCs/>
                <w:sz w:val="22"/>
                <w:lang w:val="es-ES"/>
              </w:rPr>
              <w:t xml:space="preserve"> delegado de Eslovenia</w:t>
            </w:r>
            <w:r w:rsidRPr="002D6508">
              <w:rPr>
                <w:sz w:val="22"/>
                <w:lang w:val="es-ES"/>
              </w:rPr>
              <w:t xml:space="preserve"> hace la declaración siguiente:</w:t>
            </w:r>
          </w:p>
          <w:p w14:paraId="0C30D9F1" w14:textId="77777777" w:rsidR="00967792" w:rsidRPr="002D6508" w:rsidRDefault="00967792" w:rsidP="00B53355">
            <w:pPr>
              <w:spacing w:before="40" w:after="40"/>
              <w:rPr>
                <w:sz w:val="22"/>
                <w:lang w:val="es-ES"/>
              </w:rPr>
            </w:pPr>
            <w:r w:rsidRPr="002D6508">
              <w:rPr>
                <w:sz w:val="22"/>
                <w:lang w:val="es-ES"/>
              </w:rPr>
              <w:t>«Eslovenia desea hacer constar su inquietud con respecto al capítulo 7.4.2.2 del Informe del Director sobre las actividades del Sector de Radiocomunicaciones cuando trata la interferencia perjudicial causada por Italia a los servicios de radiodifusión (sonora y de televisión) de sus países vecinos.</w:t>
            </w:r>
          </w:p>
          <w:p w14:paraId="4925A487" w14:textId="77777777" w:rsidR="00967792" w:rsidRPr="002D6508" w:rsidRDefault="00967792" w:rsidP="00B53355">
            <w:pPr>
              <w:spacing w:before="40" w:after="40"/>
              <w:rPr>
                <w:sz w:val="22"/>
                <w:lang w:val="es-ES"/>
              </w:rPr>
            </w:pPr>
            <w:r w:rsidRPr="002D6508">
              <w:rPr>
                <w:sz w:val="22"/>
                <w:lang w:val="es-ES"/>
              </w:rPr>
              <w:t>Eslovenia está muy preocupada por el retraso del programa encaminado a resolver casos de interferencia perjudicial causada a servicios de televisión; las actividades se anunciaron hace dos años y todavía no podemos detectar ninguna mejora en el espectro. Por otra parte, Eslovenia agradece los esfuerzos de Italia para comenzar esas actividades y espera que éstas continúen hasta que estén resueltos todos los casos de interferencia perjudicial causada a todas las estaciones eslovenas.</w:t>
            </w:r>
          </w:p>
          <w:p w14:paraId="4425AECD" w14:textId="77777777" w:rsidR="00967792" w:rsidRPr="002D6508" w:rsidRDefault="00967792" w:rsidP="00B53355">
            <w:pPr>
              <w:spacing w:before="40" w:after="40"/>
              <w:rPr>
                <w:sz w:val="22"/>
                <w:lang w:val="es-ES"/>
              </w:rPr>
            </w:pPr>
            <w:r w:rsidRPr="002D6508">
              <w:rPr>
                <w:sz w:val="22"/>
                <w:lang w:val="es-ES"/>
              </w:rPr>
              <w:lastRenderedPageBreak/>
              <w:t>Lamentablemente, todavía quedan sin resolver muchos casos de interferencia perjudicial causada a estaciones de radiodifusión sonora eslovenas que funcionan con arreglo al Acuerdo de Ginebra 1984. Eslovenia es perfectamente consciente de la gran necesidad de frecuencias para estaciones de radio FM en ambos lados de la frontera, pero consideramos que debe respetarse el Acuerdo de Ginebra 1984 y que la utilización del espectro debe basarse en los recursos disponibles, respetando las reglas de la UIT y los acuerdos internacionales.</w:t>
            </w:r>
          </w:p>
          <w:p w14:paraId="74AFCD8E" w14:textId="77777777" w:rsidR="00967792" w:rsidRPr="002D6508" w:rsidRDefault="00967792" w:rsidP="00B53355">
            <w:pPr>
              <w:spacing w:before="40" w:after="40"/>
              <w:rPr>
                <w:sz w:val="22"/>
                <w:lang w:val="es-ES"/>
              </w:rPr>
            </w:pPr>
            <w:r w:rsidRPr="002D6508">
              <w:rPr>
                <w:sz w:val="22"/>
                <w:lang w:val="es-ES"/>
              </w:rPr>
              <w:t>Eslovenia insiste en que la interferencia perjudicial causada por estaciones italianas no coordinadas ocasiona graves daños económicos a Eslovenia.</w:t>
            </w:r>
          </w:p>
          <w:p w14:paraId="176DADAF" w14:textId="77777777" w:rsidR="00967792" w:rsidRPr="002D6508" w:rsidRDefault="00967792" w:rsidP="00B53355">
            <w:pPr>
              <w:spacing w:before="40" w:after="40"/>
              <w:rPr>
                <w:sz w:val="22"/>
                <w:lang w:val="es-ES"/>
              </w:rPr>
            </w:pPr>
            <w:r w:rsidRPr="002D6508">
              <w:rPr>
                <w:sz w:val="22"/>
                <w:lang w:val="es-ES"/>
              </w:rPr>
              <w:t>Eslovenia comprende que se puede necesitar más tiempo para resolver algunos casos de interferencia, pero en 2003 ya se presentaron a la Administración italiana informes detallados de centenares de casos de interferencia perjudicial. Eslovenia lamenta que no se haya resuelto prácticamente ningún caso de interferencia e insta a que se tomen medidas inmediatas para eliminar las interferencias perjudiciales.</w:t>
            </w:r>
          </w:p>
          <w:p w14:paraId="65ACD808" w14:textId="77777777" w:rsidR="00967792" w:rsidRPr="002D6508" w:rsidRDefault="00967792" w:rsidP="00B53355">
            <w:pPr>
              <w:spacing w:before="40" w:after="40"/>
              <w:rPr>
                <w:sz w:val="22"/>
                <w:lang w:val="es-ES"/>
              </w:rPr>
            </w:pPr>
            <w:r w:rsidRPr="002D6508">
              <w:rPr>
                <w:sz w:val="22"/>
                <w:lang w:val="es-ES"/>
              </w:rPr>
              <w:t>Eslovenia agradecería que el asunto mencionado en el capítulo 7.4.2.2 del Informe del Director sobre las actividades del Sector de Radiocomunicaciones que tratan de la interferencia perjudicial causada por Italia a los servicios de radiodifusión (sonora y de televisión) de sus países vecinos quede abierto hasta la próxima CMR, a la que deberían presentarse los progresos realizados. Proponemos que se incorpore un plan de acción renovado para suprimir la interferencia perjudicial causada a los servicios de radiodifusión (sonora y de televisión).»</w:t>
            </w:r>
          </w:p>
          <w:p w14:paraId="32E8935B" w14:textId="77777777" w:rsidR="00967792" w:rsidRPr="002D6508" w:rsidRDefault="00967792" w:rsidP="00B53355">
            <w:pPr>
              <w:spacing w:before="40" w:after="40"/>
              <w:rPr>
                <w:sz w:val="22"/>
                <w:lang w:val="es-ES"/>
              </w:rPr>
            </w:pPr>
            <w:r w:rsidRPr="002D6508">
              <w:rPr>
                <w:sz w:val="22"/>
                <w:lang w:val="es-ES"/>
              </w:rPr>
              <w:t>8.2</w:t>
            </w:r>
            <w:r w:rsidRPr="002D6508">
              <w:rPr>
                <w:sz w:val="22"/>
                <w:lang w:val="es-ES"/>
              </w:rPr>
              <w:tab/>
              <w:t>El</w:t>
            </w:r>
            <w:r w:rsidRPr="002D6508">
              <w:rPr>
                <w:b/>
                <w:bCs/>
                <w:sz w:val="22"/>
                <w:lang w:val="es-ES"/>
              </w:rPr>
              <w:t xml:space="preserve"> delegado de Italia</w:t>
            </w:r>
            <w:r w:rsidRPr="002D6508">
              <w:rPr>
                <w:sz w:val="22"/>
                <w:lang w:val="es-ES"/>
              </w:rPr>
              <w:t xml:space="preserve"> hace la declaración siguiente:</w:t>
            </w:r>
          </w:p>
          <w:p w14:paraId="1F69EBD8" w14:textId="77777777" w:rsidR="00967792" w:rsidRPr="002D6508" w:rsidRDefault="00967792" w:rsidP="00B53355">
            <w:pPr>
              <w:spacing w:before="40" w:after="40"/>
              <w:rPr>
                <w:sz w:val="22"/>
                <w:lang w:val="es-ES"/>
              </w:rPr>
            </w:pPr>
            <w:r w:rsidRPr="002D6508">
              <w:rPr>
                <w:sz w:val="22"/>
                <w:lang w:val="es-ES"/>
              </w:rPr>
              <w:t>«Italia lamenta el retraso de la solución de la interferencia perjudicial con sus países vecinos, y pide disculpas.</w:t>
            </w:r>
          </w:p>
          <w:p w14:paraId="3D897285" w14:textId="77777777" w:rsidR="00967792" w:rsidRPr="002D6508" w:rsidRDefault="00967792" w:rsidP="00B53355">
            <w:pPr>
              <w:spacing w:before="40" w:after="40"/>
              <w:rPr>
                <w:sz w:val="22"/>
                <w:lang w:val="es-ES"/>
              </w:rPr>
            </w:pPr>
            <w:r w:rsidRPr="002D6508">
              <w:rPr>
                <w:sz w:val="22"/>
                <w:lang w:val="es-ES"/>
              </w:rPr>
              <w:t xml:space="preserve">Sr. Presidente, debo reconocer que me sorprende un poco esta declaración de Eslovenia, habida cuenta de que Italia ya ha iniciado reuniones bilaterales para establecer una «hoja de ruta» con todos sus países vecinos, examinando en primer lugar los casos más críticos y a </w:t>
            </w:r>
            <w:r w:rsidRPr="002D6508">
              <w:rPr>
                <w:sz w:val="22"/>
                <w:lang w:val="es-ES"/>
              </w:rPr>
              <w:lastRenderedPageBreak/>
              <w:t>continuación los menos críticos. Este proceso tomará cierto tiempo y sigue en curso. En los últimos años, Italia se ha reunido periódicamente con sus países vecinos en el marco del grupo de política del espectro radioeléctrico y en reuniones del Comité del Espectro Radioeléctrico de la Unión europea y, en cada reunión, Italia ha facilitado información actualizada sobre casos de interferencia y sobre las medidas de interferencia realizadas en cooperación con países vecinos. Italia también envía periódicamente a la RRB un informe titulado «hoja de ruta» en el que se pone al día la situación de los casos de interferencia.</w:t>
            </w:r>
          </w:p>
          <w:p w14:paraId="5CFB22DE" w14:textId="77777777" w:rsidR="00967792" w:rsidRPr="002D6508" w:rsidRDefault="00967792" w:rsidP="00B53355">
            <w:pPr>
              <w:spacing w:before="40" w:after="40"/>
              <w:rPr>
                <w:sz w:val="22"/>
                <w:lang w:val="es-ES"/>
              </w:rPr>
            </w:pPr>
            <w:r w:rsidRPr="002D6508">
              <w:rPr>
                <w:sz w:val="22"/>
                <w:lang w:val="es-ES"/>
              </w:rPr>
              <w:t>El nuevo plan nacional de asignaciones de frecuencias aprobado por Agcom, el organismo nacional responsable, excluye la utilización de canales interferentes en las zonas fronterizas con Eslovenia, Croacia, Malta y Francia, y por consiguiente esos canales serán suprimidos. Italia está realizando grandes esfuerzos para resolver completamente este asunto y este problema es altamente prioritario para la Administración italiana. También es prioritario al máximo nivel político, ya que el Parlamento italiano ha aprobado dos leyes sobre este asunto durante los últimos dos años. El viernes 30 de octubre de 2015, el Ministro de Desarrollo Económico promulgó un decreto oficial en el que establecía un proceso y un calendario para la supresión definitiva de todos los canales interferentes. Este proceso comenzó el 2 de noviembre y consta de varias etapas que quedarán terminadas a finales de abril de 2016 con la desconexión de todos los canales de TV interferentes.</w:t>
            </w:r>
          </w:p>
          <w:p w14:paraId="29759496" w14:textId="77777777" w:rsidR="00967792" w:rsidRPr="002D6508" w:rsidRDefault="00967792" w:rsidP="00B53355">
            <w:pPr>
              <w:spacing w:before="40" w:after="40"/>
              <w:rPr>
                <w:sz w:val="22"/>
                <w:lang w:val="es-ES"/>
              </w:rPr>
            </w:pPr>
            <w:r w:rsidRPr="002D6508">
              <w:rPr>
                <w:sz w:val="22"/>
                <w:lang w:val="es-ES"/>
              </w:rPr>
              <w:t>La interferencia causada en FM a nuestros países vecinos se examinó en la reunión del grupo de política del espectro radioeléctrico celebrada el 15 de octubre en Bruselas. Habida cuenta de la utilización considerable de la FM analógica en Italia y en sus países vecinos, Italia ha pedido que se organicen reuniones bilaterales y multilaterales con todas las partes para determinar las necesidades reales de frecuencias FM y buscar una solución.»</w:t>
            </w:r>
          </w:p>
          <w:p w14:paraId="1ED21496" w14:textId="64840DFC" w:rsidR="00967792" w:rsidRPr="002D6508" w:rsidRDefault="00967792" w:rsidP="00B53355">
            <w:pPr>
              <w:spacing w:before="40" w:after="40"/>
              <w:rPr>
                <w:sz w:val="22"/>
                <w:lang w:val="es-ES"/>
              </w:rPr>
            </w:pPr>
            <w:r w:rsidRPr="002D6508">
              <w:rPr>
                <w:sz w:val="22"/>
                <w:lang w:val="es-ES"/>
              </w:rPr>
              <w:t>8.3</w:t>
            </w:r>
            <w:r w:rsidRPr="002D6508">
              <w:rPr>
                <w:sz w:val="22"/>
                <w:lang w:val="es-ES"/>
              </w:rPr>
              <w:tab/>
              <w:t xml:space="preserve">El </w:t>
            </w:r>
            <w:r w:rsidRPr="002D6508">
              <w:rPr>
                <w:b/>
                <w:bCs/>
                <w:sz w:val="22"/>
                <w:lang w:val="es-ES"/>
              </w:rPr>
              <w:t>Director de la BR</w:t>
            </w:r>
            <w:r w:rsidRPr="002D6508">
              <w:rPr>
                <w:sz w:val="22"/>
                <w:lang w:val="es-ES"/>
              </w:rPr>
              <w:t xml:space="preserve"> dice que el problema es considerable y que se ha debatido ampliamente en la CMR-12 y en todas las </w:t>
            </w:r>
            <w:r w:rsidRPr="002D6508">
              <w:rPr>
                <w:sz w:val="22"/>
                <w:lang w:val="es-ES"/>
              </w:rPr>
              <w:lastRenderedPageBreak/>
              <w:t>reuniones subsiguientes de la RRB. Tiene el gusto de anunciar que las autoridades italianas ya están tomando todas las medidas legislativas y reglamentarias necesarias para resolver este asunto. El proceso de subasta inversa mediante el cual el Gobierno adquirirá las asignaciones que crean la mayoría de las interferencias perjudiciales ha comenzado recientemente y se espera que quede terminado a finales de 2015. Propone que la Conferencia aliente al Director de la</w:t>
            </w:r>
            <w:r w:rsidR="00536113">
              <w:rPr>
                <w:sz w:val="22"/>
                <w:lang w:val="es-ES"/>
              </w:rPr>
              <w:t> </w:t>
            </w:r>
            <w:r w:rsidRPr="002D6508">
              <w:rPr>
                <w:sz w:val="22"/>
                <w:lang w:val="es-ES"/>
              </w:rPr>
              <w:t>BR y a la RRB a continuar sus esfuerzos en colaboración con la Administración de Italia y todas las administraciones afectadas para encontrar lo antes posible una solución definitiva.</w:t>
            </w:r>
          </w:p>
          <w:p w14:paraId="7C6C8D04" w14:textId="77777777" w:rsidR="00967792" w:rsidRPr="002D6508" w:rsidRDefault="00967792" w:rsidP="00B53355">
            <w:pPr>
              <w:spacing w:before="40" w:after="40"/>
              <w:rPr>
                <w:sz w:val="22"/>
                <w:lang w:val="es-ES"/>
              </w:rPr>
            </w:pPr>
            <w:r w:rsidRPr="002D6508">
              <w:rPr>
                <w:sz w:val="22"/>
                <w:lang w:val="es-ES"/>
              </w:rPr>
              <w:t>8.4</w:t>
            </w:r>
            <w:r w:rsidRPr="002D6508">
              <w:rPr>
                <w:sz w:val="22"/>
                <w:lang w:val="es-ES"/>
              </w:rPr>
              <w:tab/>
              <w:t xml:space="preserve">El </w:t>
            </w:r>
            <w:r w:rsidRPr="002D6508">
              <w:rPr>
                <w:b/>
                <w:bCs/>
                <w:sz w:val="22"/>
                <w:lang w:val="es-ES"/>
              </w:rPr>
              <w:t>delegado de Croacia</w:t>
            </w:r>
            <w:r w:rsidRPr="002D6508">
              <w:rPr>
                <w:sz w:val="22"/>
                <w:lang w:val="es-ES"/>
              </w:rPr>
              <w:t xml:space="preserve"> señala que su Administración también está afectada y pide a todas las partes interesadas que obren para encontrar una solución a este antiguo problema.</w:t>
            </w:r>
          </w:p>
          <w:p w14:paraId="6B6ABA14" w14:textId="77777777" w:rsidR="00967792" w:rsidRPr="002D6508" w:rsidRDefault="00967792" w:rsidP="00B53355">
            <w:pPr>
              <w:spacing w:before="40" w:after="40"/>
              <w:rPr>
                <w:sz w:val="22"/>
                <w:lang w:val="es-ES"/>
              </w:rPr>
            </w:pPr>
            <w:r w:rsidRPr="002D6508">
              <w:rPr>
                <w:sz w:val="22"/>
                <w:lang w:val="es-ES"/>
              </w:rPr>
              <w:t>8.5</w:t>
            </w:r>
            <w:r w:rsidRPr="002D6508">
              <w:rPr>
                <w:sz w:val="22"/>
                <w:lang w:val="es-ES"/>
              </w:rPr>
              <w:tab/>
              <w:t xml:space="preserve">El </w:t>
            </w:r>
            <w:r w:rsidRPr="002D6508">
              <w:rPr>
                <w:b/>
                <w:bCs/>
                <w:sz w:val="22"/>
                <w:lang w:val="es-ES"/>
              </w:rPr>
              <w:t>Presidente</w:t>
            </w:r>
            <w:r w:rsidRPr="002D6508">
              <w:rPr>
                <w:sz w:val="22"/>
                <w:lang w:val="es-ES"/>
              </w:rPr>
              <w:t xml:space="preserve"> propone que la Plenaria tome nota de estas declaraciones y haga suya la propuesta del Director de la BR.</w:t>
            </w:r>
          </w:p>
          <w:p w14:paraId="47264125" w14:textId="696B392D" w:rsidR="00967792" w:rsidRPr="002D6508" w:rsidRDefault="00967792" w:rsidP="00B53355">
            <w:pPr>
              <w:spacing w:before="40" w:after="40"/>
              <w:rPr>
                <w:sz w:val="22"/>
                <w:lang w:val="es-ES"/>
              </w:rPr>
            </w:pPr>
            <w:r w:rsidRPr="002D6508">
              <w:rPr>
                <w:sz w:val="22"/>
                <w:lang w:val="es-ES"/>
              </w:rPr>
              <w:t>8.6</w:t>
            </w:r>
            <w:r w:rsidRPr="002D6508">
              <w:rPr>
                <w:sz w:val="22"/>
                <w:lang w:val="es-ES"/>
              </w:rPr>
              <w:tab/>
              <w:t xml:space="preserve">Así se </w:t>
            </w:r>
            <w:r w:rsidRPr="002D6508">
              <w:rPr>
                <w:b/>
                <w:bCs/>
                <w:sz w:val="22"/>
                <w:lang w:val="es-ES"/>
              </w:rPr>
              <w:t>acuerda</w:t>
            </w:r>
            <w:r w:rsidRPr="002D6508">
              <w:rPr>
                <w:sz w:val="22"/>
                <w:lang w:val="es-ES"/>
              </w:rPr>
              <w:t>.</w:t>
            </w:r>
          </w:p>
        </w:tc>
        <w:tc>
          <w:tcPr>
            <w:tcW w:w="1548" w:type="pct"/>
          </w:tcPr>
          <w:p w14:paraId="454BDB85" w14:textId="46F96BDC" w:rsidR="00967792" w:rsidRPr="00D2027A" w:rsidDel="009440F5" w:rsidRDefault="00967792" w:rsidP="00B53355">
            <w:pPr>
              <w:pStyle w:val="Tabletext"/>
              <w:rPr>
                <w:rFonts w:asciiTheme="majorBidi" w:hAnsiTheme="majorBidi" w:cstheme="majorBidi"/>
                <w:szCs w:val="24"/>
                <w:lang w:val="es-ES"/>
              </w:rPr>
            </w:pPr>
            <w:r w:rsidRPr="00D2027A">
              <w:rPr>
                <w:rFonts w:asciiTheme="majorBidi" w:hAnsiTheme="majorBidi" w:cstheme="majorBidi"/>
                <w:b/>
                <w:lang w:val="es-ES"/>
              </w:rPr>
              <w:lastRenderedPageBreak/>
              <w:t xml:space="preserve">La CMR-15 alienta al Director de la BR y a la RRB </w:t>
            </w:r>
            <w:r w:rsidRPr="00D2027A">
              <w:rPr>
                <w:rFonts w:asciiTheme="majorBidi" w:hAnsiTheme="majorBidi" w:cstheme="majorBidi"/>
                <w:lang w:val="es-ES"/>
              </w:rPr>
              <w:t xml:space="preserve">a continuar sus esfuerzos en colaboración con la Administración de Italia y todas las administraciones afectadas para </w:t>
            </w:r>
            <w:r w:rsidRPr="00266695">
              <w:rPr>
                <w:lang w:val="es-ES"/>
              </w:rPr>
              <w:t>encontrar</w:t>
            </w:r>
            <w:r w:rsidRPr="00D2027A">
              <w:rPr>
                <w:rFonts w:asciiTheme="majorBidi" w:hAnsiTheme="majorBidi" w:cstheme="majorBidi"/>
                <w:lang w:val="es-ES"/>
              </w:rPr>
              <w:t xml:space="preserve"> lo antes posible una solución definitiva.</w:t>
            </w:r>
          </w:p>
        </w:tc>
      </w:tr>
      <w:tr w:rsidR="00967792" w:rsidRPr="00D2027A" w14:paraId="5206245F" w14:textId="77777777" w:rsidTr="00924C8B">
        <w:trPr>
          <w:jc w:val="center"/>
        </w:trPr>
        <w:tc>
          <w:tcPr>
            <w:tcW w:w="183" w:type="pct"/>
          </w:tcPr>
          <w:p w14:paraId="04E4F392" w14:textId="606D2538" w:rsidR="00967792" w:rsidRPr="00A616CA" w:rsidRDefault="00967792" w:rsidP="00B53355">
            <w:pPr>
              <w:pStyle w:val="Tabletext"/>
              <w:rPr>
                <w:lang w:val="es-ES"/>
              </w:rPr>
            </w:pPr>
            <w:r w:rsidRPr="00A616CA">
              <w:rPr>
                <w:lang w:val="es-ES"/>
              </w:rPr>
              <w:lastRenderedPageBreak/>
              <w:t>51</w:t>
            </w:r>
          </w:p>
        </w:tc>
        <w:tc>
          <w:tcPr>
            <w:tcW w:w="434" w:type="pct"/>
          </w:tcPr>
          <w:p w14:paraId="5E60D1C6" w14:textId="235F2CFE" w:rsidR="00967792" w:rsidRPr="00A616CA" w:rsidRDefault="00967792" w:rsidP="00B53355">
            <w:pPr>
              <w:pStyle w:val="Tabletext"/>
              <w:rPr>
                <w:lang w:val="es-ES"/>
              </w:rPr>
            </w:pPr>
            <w:r w:rsidRPr="00A616CA">
              <w:rPr>
                <w:lang w:val="es-ES"/>
              </w:rPr>
              <w:t>CMR-15</w:t>
            </w:r>
          </w:p>
        </w:tc>
        <w:tc>
          <w:tcPr>
            <w:tcW w:w="523" w:type="pct"/>
          </w:tcPr>
          <w:p w14:paraId="73BF496A" w14:textId="5A4E1D6D" w:rsidR="00967792" w:rsidRPr="00D2027A" w:rsidRDefault="00967792" w:rsidP="00B53355">
            <w:pPr>
              <w:pStyle w:val="Tabletext"/>
              <w:rPr>
                <w:rFonts w:asciiTheme="majorBidi" w:hAnsiTheme="majorBidi" w:cstheme="majorBidi"/>
                <w:bCs/>
                <w:szCs w:val="24"/>
                <w:lang w:val="es-ES"/>
              </w:rPr>
            </w:pPr>
            <w:r w:rsidRPr="00D2027A">
              <w:rPr>
                <w:rFonts w:asciiTheme="majorBidi" w:hAnsiTheme="majorBidi" w:cstheme="majorBidi"/>
                <w:bCs/>
                <w:szCs w:val="24"/>
                <w:lang w:val="es-ES"/>
              </w:rPr>
              <w:t>7</w:t>
            </w:r>
            <w:r w:rsidRPr="002D6508">
              <w:rPr>
                <w:rFonts w:asciiTheme="majorBidi" w:hAnsiTheme="majorBidi" w:cstheme="majorBidi"/>
                <w:bCs/>
                <w:szCs w:val="24"/>
                <w:lang w:val="es-ES"/>
              </w:rPr>
              <w:t>ª</w:t>
            </w:r>
            <w:r w:rsidRPr="00D2027A">
              <w:rPr>
                <w:rFonts w:asciiTheme="majorBidi" w:hAnsiTheme="majorBidi" w:cstheme="majorBidi"/>
                <w:bCs/>
                <w:szCs w:val="24"/>
                <w:lang w:val="es-ES"/>
              </w:rPr>
              <w:t xml:space="preserve"> Plenaria</w:t>
            </w:r>
            <w:r w:rsidR="002D0088">
              <w:rPr>
                <w:rFonts w:asciiTheme="majorBidi" w:hAnsiTheme="majorBidi" w:cstheme="majorBidi"/>
                <w:bCs/>
                <w:szCs w:val="24"/>
                <w:lang w:val="es-ES"/>
              </w:rPr>
              <w:br/>
            </w:r>
            <w:hyperlink r:id="rId178">
              <w:r w:rsidRPr="00D2027A">
                <w:rPr>
                  <w:rStyle w:val="Hyperlink"/>
                  <w:rFonts w:asciiTheme="majorBidi" w:hAnsiTheme="majorBidi" w:cstheme="majorBidi"/>
                  <w:bCs/>
                  <w:szCs w:val="24"/>
                  <w:lang w:val="es-ES"/>
                </w:rPr>
                <w:t>Doc. CMR15/504</w:t>
              </w:r>
            </w:hyperlink>
          </w:p>
          <w:p w14:paraId="435C7970" w14:textId="0E141D06" w:rsidR="00967792" w:rsidRPr="00D2027A" w:rsidRDefault="00967792" w:rsidP="00B53355">
            <w:pPr>
              <w:pStyle w:val="Tabletext"/>
              <w:rPr>
                <w:rFonts w:asciiTheme="majorBidi" w:hAnsiTheme="majorBidi" w:cstheme="majorBidi"/>
                <w:bCs/>
                <w:szCs w:val="24"/>
                <w:lang w:val="es-ES"/>
              </w:rPr>
            </w:pPr>
            <w:r w:rsidRPr="002D6508">
              <w:rPr>
                <w:lang w:val="es-ES"/>
              </w:rPr>
              <w:t>Aprobación</w:t>
            </w:r>
            <w:r w:rsidRPr="00D2027A">
              <w:rPr>
                <w:rFonts w:asciiTheme="majorBidi" w:hAnsiTheme="majorBidi" w:cstheme="majorBidi"/>
                <w:bCs/>
                <w:szCs w:val="24"/>
                <w:lang w:val="es-ES"/>
              </w:rPr>
              <w:t xml:space="preserve"> del Documento 335(Rev.1)</w:t>
            </w:r>
          </w:p>
        </w:tc>
        <w:tc>
          <w:tcPr>
            <w:tcW w:w="2312" w:type="pct"/>
          </w:tcPr>
          <w:p w14:paraId="206BD7B9" w14:textId="77777777" w:rsidR="00967792" w:rsidRPr="00357C6C" w:rsidRDefault="00967792" w:rsidP="00B53355">
            <w:pPr>
              <w:spacing w:before="40" w:after="40"/>
              <w:rPr>
                <w:sz w:val="22"/>
                <w:lang w:val="es-ES"/>
              </w:rPr>
            </w:pPr>
            <w:r w:rsidRPr="00357C6C">
              <w:rPr>
                <w:sz w:val="22"/>
                <w:lang w:val="es-ES"/>
              </w:rPr>
              <w:t>3.14</w:t>
            </w:r>
            <w:r w:rsidRPr="00357C6C">
              <w:rPr>
                <w:sz w:val="22"/>
                <w:lang w:val="es-ES"/>
              </w:rPr>
              <w:tab/>
              <w:t xml:space="preserve">El </w:t>
            </w:r>
            <w:r w:rsidRPr="00357C6C">
              <w:rPr>
                <w:b/>
                <w:bCs/>
                <w:sz w:val="22"/>
                <w:lang w:val="es-ES"/>
              </w:rPr>
              <w:t>Presidente de la Comisión 5</w:t>
            </w:r>
            <w:r w:rsidRPr="00357C6C">
              <w:rPr>
                <w:sz w:val="22"/>
                <w:lang w:val="es-ES"/>
              </w:rPr>
              <w:t xml:space="preserve">, refiriéndose al tercer informe de la Comisión a la Plenaria (Documento 335(Rev.1)) sobre el examen de las propuestas relativas al punto 7 del orden del día, manifiesta que, con respecto a la modificación de una asignación inscrita en la Lista con arreglo a los Apéndices </w:t>
            </w:r>
            <w:r w:rsidRPr="00357C6C">
              <w:rPr>
                <w:b/>
                <w:bCs/>
                <w:sz w:val="22"/>
                <w:lang w:val="es-ES"/>
              </w:rPr>
              <w:t>30</w:t>
            </w:r>
            <w:r w:rsidRPr="00357C6C">
              <w:rPr>
                <w:sz w:val="22"/>
                <w:lang w:val="es-ES"/>
              </w:rPr>
              <w:t xml:space="preserve"> y </w:t>
            </w:r>
            <w:r w:rsidRPr="00357C6C">
              <w:rPr>
                <w:b/>
                <w:bCs/>
                <w:sz w:val="22"/>
                <w:lang w:val="es-ES"/>
              </w:rPr>
              <w:t>30A</w:t>
            </w:r>
            <w:r w:rsidRPr="00357C6C">
              <w:rPr>
                <w:sz w:val="22"/>
                <w:lang w:val="es-ES"/>
              </w:rPr>
              <w:t xml:space="preserve"> del Reglamento de Radiocomunicaciones, se solicita a la Plenaria que examine y apruebe la siguiente conclusión de la Comisión 5:</w:t>
            </w:r>
          </w:p>
          <w:p w14:paraId="643F9744" w14:textId="008E741D" w:rsidR="00967792" w:rsidRPr="00357C6C" w:rsidRDefault="00967792" w:rsidP="00B53355">
            <w:pPr>
              <w:spacing w:before="40" w:after="40"/>
              <w:rPr>
                <w:sz w:val="22"/>
                <w:lang w:val="es-ES"/>
              </w:rPr>
            </w:pPr>
            <w:r w:rsidRPr="00357C6C">
              <w:rPr>
                <w:sz w:val="22"/>
                <w:lang w:val="es-ES"/>
              </w:rPr>
              <w:t xml:space="preserve">«La CMR-15 consideró la cuestión de la modificación de una asignación inscrita en la Lista con arreglo a los Apéndices </w:t>
            </w:r>
            <w:r w:rsidRPr="00357C6C">
              <w:rPr>
                <w:b/>
                <w:bCs/>
                <w:sz w:val="22"/>
                <w:lang w:val="es-ES"/>
              </w:rPr>
              <w:t>30</w:t>
            </w:r>
            <w:r w:rsidRPr="00357C6C">
              <w:rPr>
                <w:sz w:val="22"/>
                <w:lang w:val="es-ES"/>
              </w:rPr>
              <w:t xml:space="preserve"> y </w:t>
            </w:r>
            <w:r w:rsidRPr="00357C6C">
              <w:rPr>
                <w:b/>
                <w:bCs/>
                <w:sz w:val="22"/>
                <w:lang w:val="es-ES"/>
              </w:rPr>
              <w:t>30A</w:t>
            </w:r>
            <w:r w:rsidRPr="00357C6C">
              <w:rPr>
                <w:sz w:val="22"/>
                <w:lang w:val="es-ES"/>
              </w:rPr>
              <w:t xml:space="preserve"> del Reglamento de Radiocomunicaciones. El Artículo 4 de los mencionados Apéndices no cuenta con disposiciones específicas que permitan modificar las características de una asignación una vez inscrita satisfactoriamente en la Lista de usos adicionales en las Regiones 1 y 3 salvo el § 4.1.23, según el cual una asignación puede suprimirse de la Lista. Esto es así incluso en el supuesto de que la modificación redujera la interferencia causada por la asignación. Si la asignación en la Lista ya no es adecuada, la única opción de la Administración notificante es presentar una nueva propuesta con </w:t>
            </w:r>
            <w:r w:rsidRPr="00357C6C">
              <w:rPr>
                <w:sz w:val="22"/>
                <w:lang w:val="es-ES"/>
              </w:rPr>
              <w:lastRenderedPageBreak/>
              <w:t xml:space="preserve">arreglo al § 4.1.3 del Artículo 4 para sustituir la asignación en la Lista. Así, es posible modificar las características de la presentación según el Artículo 4 en la etapa de coordinación, antes de la inscripción en la Lista con arreglo al § 4.1.11, pero no después. Esta cuestión se planteó en el Informe del Director a la CMR-15, en el que se invitaba a la Conferencia a que la considerara con el fin de modificar las disposiciones del Artículo 4 de los Apéndices </w:t>
            </w:r>
            <w:r w:rsidRPr="00357C6C">
              <w:rPr>
                <w:b/>
                <w:bCs/>
                <w:sz w:val="22"/>
                <w:lang w:val="es-ES"/>
              </w:rPr>
              <w:t>30</w:t>
            </w:r>
            <w:r w:rsidRPr="00357C6C">
              <w:rPr>
                <w:sz w:val="22"/>
                <w:lang w:val="es-ES"/>
              </w:rPr>
              <w:t xml:space="preserve"> y </w:t>
            </w:r>
            <w:r w:rsidRPr="00357C6C">
              <w:rPr>
                <w:b/>
                <w:bCs/>
                <w:sz w:val="22"/>
                <w:lang w:val="es-ES"/>
              </w:rPr>
              <w:t>30A</w:t>
            </w:r>
            <w:r w:rsidRPr="00357C6C">
              <w:rPr>
                <w:sz w:val="22"/>
                <w:lang w:val="es-ES"/>
              </w:rPr>
              <w:t xml:space="preserve"> del Reglamento de Radiocomunicaciones para permitir estas modificaciones cuando se reduzca la interferencia causada a otras redes. Esta cuestión también fue objeto de una propuesta presentada por un Estado Miembro. En consecuencia, se invita al UIT-R a que estudie la cuestión, en el marco del punto 7 permanente del orden del día, a fin de encontrar una solución técnica y reglamentaria adecuada a este asunto</w:t>
            </w:r>
            <w:r w:rsidRPr="00357C6C">
              <w:rPr>
                <w:iCs/>
                <w:sz w:val="22"/>
                <w:lang w:val="es-ES"/>
              </w:rPr>
              <w:t>»</w:t>
            </w:r>
            <w:r w:rsidRPr="00357C6C">
              <w:rPr>
                <w:sz w:val="22"/>
                <w:lang w:val="es-ES"/>
              </w:rPr>
              <w:t>.</w:t>
            </w:r>
          </w:p>
          <w:p w14:paraId="769AFB58" w14:textId="77777777" w:rsidR="00967792" w:rsidRPr="00357C6C" w:rsidRDefault="00967792" w:rsidP="00B53355">
            <w:pPr>
              <w:spacing w:before="40" w:after="40"/>
              <w:rPr>
                <w:sz w:val="22"/>
                <w:lang w:val="es-ES"/>
              </w:rPr>
            </w:pPr>
            <w:r w:rsidRPr="00357C6C">
              <w:rPr>
                <w:sz w:val="22"/>
                <w:lang w:val="es-ES"/>
              </w:rPr>
              <w:t>3.15</w:t>
            </w:r>
            <w:r w:rsidRPr="00357C6C">
              <w:rPr>
                <w:sz w:val="22"/>
                <w:lang w:val="es-ES"/>
              </w:rPr>
              <w:tab/>
              <w:t xml:space="preserve">En lo que respecta a la actualización de la situación de referencia cuando se cambian de provisionales a definitivas las asignaciones en la Lista con arreglo a los Apéndices </w:t>
            </w:r>
            <w:r w:rsidRPr="00357C6C">
              <w:rPr>
                <w:b/>
                <w:bCs/>
                <w:sz w:val="22"/>
                <w:lang w:val="es-ES"/>
              </w:rPr>
              <w:t>30</w:t>
            </w:r>
            <w:r w:rsidRPr="00357C6C">
              <w:rPr>
                <w:sz w:val="22"/>
                <w:lang w:val="es-ES"/>
              </w:rPr>
              <w:t xml:space="preserve"> y </w:t>
            </w:r>
            <w:r w:rsidRPr="00357C6C">
              <w:rPr>
                <w:b/>
                <w:bCs/>
                <w:sz w:val="22"/>
                <w:lang w:val="es-ES"/>
              </w:rPr>
              <w:t>30A</w:t>
            </w:r>
            <w:r w:rsidRPr="00357C6C">
              <w:rPr>
                <w:sz w:val="22"/>
                <w:lang w:val="es-ES"/>
              </w:rPr>
              <w:t xml:space="preserve"> del Reglamento de Radiocomunicaciones, declara que se solicita a la Plenaria que examine y apruebe la siguiente conclusión de la Comisión 5:</w:t>
            </w:r>
          </w:p>
          <w:p w14:paraId="32A95189" w14:textId="4D25A082" w:rsidR="00967792" w:rsidRPr="00357C6C" w:rsidRDefault="00967792" w:rsidP="00B53355">
            <w:pPr>
              <w:spacing w:before="40" w:after="40"/>
              <w:rPr>
                <w:sz w:val="22"/>
                <w:lang w:val="es-ES"/>
              </w:rPr>
            </w:pPr>
            <w:r w:rsidRPr="00357C6C">
              <w:rPr>
                <w:sz w:val="22"/>
                <w:lang w:val="es-ES"/>
              </w:rPr>
              <w:t>«La CMR-15 recibió una propuesta en la que se abordaban los §</w:t>
            </w:r>
            <w:r w:rsidR="00357C6C">
              <w:rPr>
                <w:sz w:val="22"/>
                <w:lang w:val="es-ES"/>
              </w:rPr>
              <w:t> </w:t>
            </w:r>
            <w:r w:rsidRPr="00357C6C">
              <w:rPr>
                <w:sz w:val="22"/>
                <w:lang w:val="es-ES"/>
              </w:rPr>
              <w:t>4.1.18</w:t>
            </w:r>
            <w:r w:rsidR="00357C6C">
              <w:rPr>
                <w:sz w:val="22"/>
                <w:lang w:val="es-ES"/>
              </w:rPr>
              <w:noBreakHyphen/>
            </w:r>
            <w:r w:rsidRPr="00357C6C">
              <w:rPr>
                <w:sz w:val="22"/>
                <w:lang w:val="es-ES"/>
              </w:rPr>
              <w:t xml:space="preserve">4.1.20 del Apéndice </w:t>
            </w:r>
            <w:r w:rsidRPr="00357C6C">
              <w:rPr>
                <w:b/>
                <w:bCs/>
                <w:sz w:val="22"/>
                <w:lang w:val="es-ES"/>
              </w:rPr>
              <w:t>30</w:t>
            </w:r>
            <w:r w:rsidRPr="00357C6C">
              <w:rPr>
                <w:sz w:val="22"/>
                <w:lang w:val="es-ES"/>
              </w:rPr>
              <w:t xml:space="preserve"> del Reglamento de Radiocomunicaciones, que describen los requisitos y las condiciones para la inscripción de una asignación en la Lista de las Regiones 1 y 3 con requisitos de coordinación pendientes. Se señaló que el § 4.1.18 prescribe que, si se realiza una inscripción en la Lista con requisitos de coordinación pendientes, esta inscripción será provisional y sólo dejará de serlo y se convertirá en definitiva cuando se informe a la Oficina de que la nueva asignación que figura en la Lista de las Regiones 1 y 3 se ha utilizado, junto con la asignación que ya está inscrita en la Lista y que suscitó el desacuerdo, durante por lo menos cuatro meses, sin que se haya formulado reclamación alguna por interferencias perjudiciales. Al inscribir provisionalmente una asignación en la Lista, no se actualiza la situación de referencia de las asignaciones que suscitaron el desacuerdo. El Reglamento de </w:t>
            </w:r>
            <w:r w:rsidRPr="00357C6C">
              <w:rPr>
                <w:sz w:val="22"/>
                <w:lang w:val="es-ES"/>
              </w:rPr>
              <w:lastRenderedPageBreak/>
              <w:t>Radiocomunicaciones no proporciona instrucciones detalladas sobre si debe actualizarse la situación de referencia de esas asignaciones, ni sobre cuándo debe hacerse, y la Oficina se ha visto en la obligación de adoptar un procedimiento para hacerlo. La práctica actual consiste en actualizar la situación de referencia de las asignaciones que suscitaron el desacuerdo cuando la inscripción pase de provisional a definitiva, es decir, tras cuatro meses sin reclamaciones por interferencias perjudiciales, y se estimó que era necesario realizar más estudios sobre la cuestión si había que cambiar esta práctica actual. En consecuencia, se invita al UIT-R a que estudie la cuestión, en el marco del punto 7 permanente del orden del día, con miras a encontrar una solución técnica y reglamentaria adecuada a este asunto»</w:t>
            </w:r>
            <w:r w:rsidR="009B6AB9" w:rsidRPr="00357C6C">
              <w:rPr>
                <w:sz w:val="22"/>
                <w:lang w:val="es-ES"/>
              </w:rPr>
              <w:t>.</w:t>
            </w:r>
          </w:p>
          <w:p w14:paraId="24A9C445" w14:textId="77777777" w:rsidR="00967792" w:rsidRPr="00357C6C" w:rsidRDefault="00967792" w:rsidP="00B53355">
            <w:pPr>
              <w:spacing w:before="40" w:after="40"/>
              <w:rPr>
                <w:sz w:val="22"/>
                <w:lang w:val="es-ES"/>
              </w:rPr>
            </w:pPr>
            <w:r w:rsidRPr="00357C6C">
              <w:rPr>
                <w:sz w:val="22"/>
                <w:lang w:val="es-ES"/>
              </w:rPr>
              <w:t>3.16</w:t>
            </w:r>
            <w:r w:rsidRPr="00357C6C">
              <w:rPr>
                <w:sz w:val="22"/>
                <w:lang w:val="es-ES"/>
              </w:rPr>
              <w:tab/>
              <w:t xml:space="preserve">El </w:t>
            </w:r>
            <w:r w:rsidRPr="00357C6C">
              <w:rPr>
                <w:b/>
                <w:bCs/>
                <w:sz w:val="22"/>
                <w:lang w:val="es-ES"/>
              </w:rPr>
              <w:t>Delegado de la República Islámica del Irán</w:t>
            </w:r>
            <w:r w:rsidRPr="00357C6C">
              <w:rPr>
                <w:sz w:val="22"/>
                <w:lang w:val="es-ES"/>
              </w:rPr>
              <w:t xml:space="preserve"> insiste en que cualquier decisión relativa a un asunto de importancia tan crítica como el de la modificación de una asignación inscrita en la Lista con arreglo a los Apéndices </w:t>
            </w:r>
            <w:r w:rsidRPr="00357C6C">
              <w:rPr>
                <w:b/>
                <w:bCs/>
                <w:sz w:val="22"/>
                <w:lang w:val="es-ES"/>
              </w:rPr>
              <w:t>30</w:t>
            </w:r>
            <w:r w:rsidRPr="00357C6C">
              <w:rPr>
                <w:sz w:val="22"/>
                <w:lang w:val="es-ES"/>
              </w:rPr>
              <w:t xml:space="preserve"> y </w:t>
            </w:r>
            <w:r w:rsidRPr="00357C6C">
              <w:rPr>
                <w:b/>
                <w:bCs/>
                <w:sz w:val="22"/>
                <w:lang w:val="es-ES"/>
              </w:rPr>
              <w:t>30A</w:t>
            </w:r>
            <w:r w:rsidRPr="00357C6C">
              <w:rPr>
                <w:sz w:val="22"/>
                <w:lang w:val="es-ES"/>
              </w:rPr>
              <w:t xml:space="preserve"> del Reglamento de Radiocomunicaciones debe posponerse hasta que se haya efectuado un estudio detallado para determinar que el curso a seguir propuesto no infringirá el principio mismo sobre el que se fundamentan dichos apéndices.</w:t>
            </w:r>
          </w:p>
          <w:p w14:paraId="1FDB5A31" w14:textId="77777777" w:rsidR="00967792" w:rsidRPr="00357C6C" w:rsidRDefault="00967792" w:rsidP="00B53355">
            <w:pPr>
              <w:spacing w:before="40" w:after="40"/>
              <w:rPr>
                <w:sz w:val="22"/>
                <w:lang w:val="es-ES"/>
              </w:rPr>
            </w:pPr>
            <w:r w:rsidRPr="00357C6C">
              <w:rPr>
                <w:sz w:val="22"/>
                <w:lang w:val="es-ES"/>
              </w:rPr>
              <w:t>3.17</w:t>
            </w:r>
            <w:r w:rsidRPr="00357C6C">
              <w:rPr>
                <w:sz w:val="22"/>
                <w:lang w:val="es-ES"/>
              </w:rPr>
              <w:tab/>
              <w:t xml:space="preserve">El </w:t>
            </w:r>
            <w:r w:rsidRPr="00357C6C">
              <w:rPr>
                <w:b/>
                <w:bCs/>
                <w:sz w:val="22"/>
                <w:lang w:val="es-ES"/>
              </w:rPr>
              <w:t>Presidente de la Comisión 5</w:t>
            </w:r>
            <w:r w:rsidRPr="00357C6C">
              <w:rPr>
                <w:sz w:val="22"/>
                <w:lang w:val="es-ES"/>
              </w:rPr>
              <w:t xml:space="preserve"> confirma que en estos momentos no se contempla ninguna decisión en este sentido; lo que se propone, en cambio, es que los resultados de cualquier estudio que se lleve a cabo sobre el tema en el marco del punto 7 del orden del día se someta a la consideración de la próxima CMR. </w:t>
            </w:r>
          </w:p>
          <w:p w14:paraId="4DAB95BA" w14:textId="0066DA65" w:rsidR="00967792" w:rsidRPr="00357C6C" w:rsidRDefault="00967792" w:rsidP="00B53355">
            <w:pPr>
              <w:spacing w:before="40" w:after="40"/>
              <w:rPr>
                <w:sz w:val="22"/>
                <w:lang w:val="es-ES"/>
              </w:rPr>
            </w:pPr>
            <w:r w:rsidRPr="00357C6C">
              <w:rPr>
                <w:sz w:val="22"/>
                <w:lang w:val="es-ES"/>
              </w:rPr>
              <w:t>3.18</w:t>
            </w:r>
            <w:r w:rsidRPr="00357C6C">
              <w:rPr>
                <w:sz w:val="22"/>
                <w:lang w:val="es-ES"/>
              </w:rPr>
              <w:tab/>
              <w:t xml:space="preserve">En ese entendimiento, se </w:t>
            </w:r>
            <w:r w:rsidRPr="00357C6C">
              <w:rPr>
                <w:b/>
                <w:sz w:val="22"/>
                <w:lang w:val="es-ES"/>
              </w:rPr>
              <w:t xml:space="preserve">aprueba </w:t>
            </w:r>
            <w:r w:rsidRPr="00357C6C">
              <w:rPr>
                <w:sz w:val="22"/>
                <w:lang w:val="es-ES"/>
              </w:rPr>
              <w:t>el Documento 335(Rev.1) y las conclusiones del mismo.</w:t>
            </w:r>
          </w:p>
        </w:tc>
        <w:tc>
          <w:tcPr>
            <w:tcW w:w="1548" w:type="pct"/>
          </w:tcPr>
          <w:p w14:paraId="5A8C437E" w14:textId="2C321FEA" w:rsidR="00967792" w:rsidRPr="00266695" w:rsidDel="009440F5" w:rsidRDefault="00967792" w:rsidP="00B53355">
            <w:pPr>
              <w:pStyle w:val="Tabletext"/>
              <w:rPr>
                <w:lang w:val="es-ES"/>
              </w:rPr>
            </w:pPr>
            <w:r w:rsidRPr="00266695">
              <w:rPr>
                <w:lang w:val="es-ES"/>
              </w:rPr>
              <w:lastRenderedPageBreak/>
              <w:t>–</w:t>
            </w:r>
          </w:p>
        </w:tc>
      </w:tr>
      <w:tr w:rsidR="00967792" w:rsidRPr="00D2027A" w14:paraId="50817F5F" w14:textId="77777777" w:rsidTr="00924C8B">
        <w:trPr>
          <w:jc w:val="center"/>
        </w:trPr>
        <w:tc>
          <w:tcPr>
            <w:tcW w:w="183" w:type="pct"/>
          </w:tcPr>
          <w:p w14:paraId="0F2EFFA0" w14:textId="765579E2" w:rsidR="00967792" w:rsidRPr="00A616CA" w:rsidRDefault="00967792" w:rsidP="00B53355">
            <w:pPr>
              <w:pStyle w:val="Tabletext"/>
              <w:rPr>
                <w:lang w:val="es-ES"/>
              </w:rPr>
            </w:pPr>
            <w:r w:rsidRPr="00A616CA">
              <w:rPr>
                <w:lang w:val="es-ES"/>
              </w:rPr>
              <w:lastRenderedPageBreak/>
              <w:t>52</w:t>
            </w:r>
          </w:p>
        </w:tc>
        <w:tc>
          <w:tcPr>
            <w:tcW w:w="434" w:type="pct"/>
          </w:tcPr>
          <w:p w14:paraId="191164E9" w14:textId="383F8335" w:rsidR="00967792" w:rsidRPr="00A616CA" w:rsidRDefault="00967792" w:rsidP="00B53355">
            <w:pPr>
              <w:pStyle w:val="Tabletext"/>
              <w:rPr>
                <w:lang w:val="es-ES"/>
              </w:rPr>
            </w:pPr>
            <w:r w:rsidRPr="00A616CA">
              <w:rPr>
                <w:lang w:val="es-ES"/>
              </w:rPr>
              <w:t>CMR-15</w:t>
            </w:r>
          </w:p>
        </w:tc>
        <w:tc>
          <w:tcPr>
            <w:tcW w:w="523" w:type="pct"/>
          </w:tcPr>
          <w:p w14:paraId="4BF25FB4" w14:textId="11E9C4DE" w:rsidR="00967792" w:rsidRPr="00D2027A" w:rsidRDefault="00967792" w:rsidP="00B53355">
            <w:pPr>
              <w:pStyle w:val="Tabletext"/>
              <w:rPr>
                <w:rFonts w:asciiTheme="majorBidi" w:hAnsiTheme="majorBidi" w:cstheme="majorBidi"/>
                <w:bCs/>
                <w:szCs w:val="24"/>
                <w:lang w:val="es-ES"/>
              </w:rPr>
            </w:pPr>
            <w:r w:rsidRPr="00D2027A">
              <w:rPr>
                <w:rFonts w:asciiTheme="majorBidi" w:hAnsiTheme="majorBidi" w:cstheme="majorBidi"/>
                <w:bCs/>
                <w:szCs w:val="24"/>
                <w:lang w:val="es-ES"/>
              </w:rPr>
              <w:t>7</w:t>
            </w:r>
            <w:r w:rsidRPr="00357C6C">
              <w:rPr>
                <w:rFonts w:asciiTheme="majorBidi" w:hAnsiTheme="majorBidi" w:cstheme="majorBidi"/>
                <w:bCs/>
                <w:szCs w:val="24"/>
                <w:lang w:val="es-ES"/>
              </w:rPr>
              <w:t>ª</w:t>
            </w:r>
            <w:r w:rsidRPr="00D2027A">
              <w:rPr>
                <w:rFonts w:asciiTheme="majorBidi" w:hAnsiTheme="majorBidi" w:cstheme="majorBidi"/>
                <w:bCs/>
                <w:szCs w:val="24"/>
                <w:lang w:val="es-ES"/>
              </w:rPr>
              <w:t xml:space="preserve"> Plenaria</w:t>
            </w:r>
            <w:r w:rsidR="002D0088">
              <w:rPr>
                <w:rFonts w:asciiTheme="majorBidi" w:hAnsiTheme="majorBidi" w:cstheme="majorBidi"/>
                <w:bCs/>
                <w:szCs w:val="24"/>
                <w:lang w:val="es-ES"/>
              </w:rPr>
              <w:br/>
            </w:r>
            <w:hyperlink r:id="rId179">
              <w:r w:rsidRPr="00D2027A">
                <w:rPr>
                  <w:rStyle w:val="Hyperlink"/>
                  <w:rFonts w:asciiTheme="majorBidi" w:hAnsiTheme="majorBidi" w:cstheme="majorBidi"/>
                  <w:bCs/>
                  <w:szCs w:val="24"/>
                  <w:lang w:val="es-ES"/>
                </w:rPr>
                <w:t>Doc. CMR15/504</w:t>
              </w:r>
            </w:hyperlink>
          </w:p>
          <w:p w14:paraId="4B58F292" w14:textId="2E696998" w:rsidR="00967792" w:rsidRPr="00D2027A" w:rsidRDefault="00967792" w:rsidP="00B53355">
            <w:pPr>
              <w:pStyle w:val="Tabletext"/>
              <w:rPr>
                <w:rFonts w:asciiTheme="majorBidi" w:hAnsiTheme="majorBidi" w:cstheme="majorBidi"/>
                <w:bCs/>
                <w:szCs w:val="24"/>
                <w:lang w:val="es-ES"/>
              </w:rPr>
            </w:pPr>
            <w:r w:rsidRPr="00D2027A">
              <w:rPr>
                <w:rFonts w:asciiTheme="majorBidi" w:hAnsiTheme="majorBidi" w:cstheme="majorBidi"/>
                <w:bCs/>
                <w:szCs w:val="24"/>
                <w:lang w:val="es-ES"/>
              </w:rPr>
              <w:t>Aprobación del Doc</w:t>
            </w:r>
            <w:r w:rsidR="002D0088">
              <w:rPr>
                <w:rFonts w:asciiTheme="majorBidi" w:hAnsiTheme="majorBidi" w:cstheme="majorBidi"/>
                <w:bCs/>
                <w:szCs w:val="24"/>
                <w:lang w:val="es-ES"/>
              </w:rPr>
              <w:t>.</w:t>
            </w:r>
            <w:r w:rsidRPr="00D2027A">
              <w:rPr>
                <w:rFonts w:asciiTheme="majorBidi" w:hAnsiTheme="majorBidi" w:cstheme="majorBidi"/>
                <w:bCs/>
                <w:szCs w:val="24"/>
                <w:lang w:val="es-ES"/>
              </w:rPr>
              <w:t xml:space="preserve"> 354</w:t>
            </w:r>
          </w:p>
        </w:tc>
        <w:tc>
          <w:tcPr>
            <w:tcW w:w="2312" w:type="pct"/>
          </w:tcPr>
          <w:p w14:paraId="5FB422CF" w14:textId="79F3ACC2" w:rsidR="00967792" w:rsidRPr="00357C6C" w:rsidRDefault="00967792" w:rsidP="00B53355">
            <w:pPr>
              <w:spacing w:before="40" w:after="40"/>
              <w:rPr>
                <w:sz w:val="22"/>
                <w:lang w:val="es-ES"/>
              </w:rPr>
            </w:pPr>
            <w:r w:rsidRPr="00357C6C">
              <w:rPr>
                <w:sz w:val="22"/>
                <w:lang w:val="es-ES"/>
              </w:rPr>
              <w:t>3.19</w:t>
            </w:r>
            <w:r w:rsidRPr="00357C6C">
              <w:rPr>
                <w:sz w:val="22"/>
                <w:lang w:val="es-ES"/>
              </w:rPr>
              <w:tab/>
              <w:t xml:space="preserve">El </w:t>
            </w:r>
            <w:r w:rsidRPr="00357C6C">
              <w:rPr>
                <w:b/>
                <w:bCs/>
                <w:sz w:val="22"/>
                <w:lang w:val="es-ES"/>
              </w:rPr>
              <w:t>Presidente de la Comisión 5</w:t>
            </w:r>
            <w:r w:rsidRPr="00357C6C">
              <w:rPr>
                <w:sz w:val="22"/>
                <w:lang w:val="es-ES"/>
              </w:rPr>
              <w:t xml:space="preserve"> presenta el cuarto informe de la Comisión a la Plenaria (Documento 354) referente al examen de las propuestas relativas a los puntos 7 y 9 del orden del día, y señala que, con respecto al tema 7K del punto 7 del orden del día – Adición de una disposición reglamentaria al Artículo </w:t>
            </w:r>
            <w:r w:rsidRPr="00357C6C">
              <w:rPr>
                <w:b/>
                <w:bCs/>
                <w:sz w:val="22"/>
                <w:lang w:val="es-ES"/>
              </w:rPr>
              <w:t>11</w:t>
            </w:r>
            <w:r w:rsidRPr="00357C6C">
              <w:rPr>
                <w:sz w:val="22"/>
                <w:lang w:val="es-ES"/>
              </w:rPr>
              <w:t xml:space="preserve"> del Reglamento de Radiocomunicaciones relativa al caso de fallo de lanzamiento, se </w:t>
            </w:r>
            <w:r w:rsidRPr="00357C6C">
              <w:rPr>
                <w:sz w:val="22"/>
                <w:lang w:val="es-ES"/>
              </w:rPr>
              <w:lastRenderedPageBreak/>
              <w:t>solicita a la Plenaria que examine y apruebe la siguiente conclusión de la Comisión</w:t>
            </w:r>
            <w:r w:rsidR="00357C6C">
              <w:rPr>
                <w:sz w:val="22"/>
                <w:lang w:val="es-ES"/>
              </w:rPr>
              <w:t> </w:t>
            </w:r>
            <w:r w:rsidRPr="00357C6C">
              <w:rPr>
                <w:sz w:val="22"/>
                <w:lang w:val="es-ES"/>
              </w:rPr>
              <w:t>5:</w:t>
            </w:r>
          </w:p>
          <w:p w14:paraId="1CA853CA" w14:textId="2E6F5FDD" w:rsidR="00967792" w:rsidRPr="00357C6C" w:rsidRDefault="00967792" w:rsidP="00B53355">
            <w:pPr>
              <w:spacing w:before="40" w:after="40"/>
              <w:rPr>
                <w:sz w:val="22"/>
                <w:lang w:val="es-ES"/>
              </w:rPr>
            </w:pPr>
            <w:r w:rsidRPr="00357C6C">
              <w:rPr>
                <w:sz w:val="22"/>
                <w:lang w:val="es-ES"/>
              </w:rPr>
              <w:t xml:space="preserve">«Al examinar la cuestión del fallo del lanzamiento de un satélite, la CMR-15 confirma la decisión adoptada por la CMR-12 (en su decimotercera reunión) en cuanto a que la Junta esté facultada para atender las solicitudes de prórroga cuando éstas se basen en problemas debidos al lanzamiento de otro satélite o a un caso excepcional de </w:t>
            </w:r>
            <w:r w:rsidRPr="00357C6C">
              <w:rPr>
                <w:i/>
                <w:sz w:val="22"/>
                <w:lang w:val="es-ES"/>
              </w:rPr>
              <w:t>fuerza mayor</w:t>
            </w:r>
            <w:r w:rsidRPr="00357C6C">
              <w:rPr>
                <w:sz w:val="22"/>
                <w:lang w:val="es-ES"/>
              </w:rPr>
              <w:t xml:space="preserve">, teniendo en cuenta las reglas y prácticas aplicables al respecto a nivel internacional, siempre y cuando esa prórroga sea </w:t>
            </w:r>
            <w:r w:rsidR="009B6AB9">
              <w:rPr>
                <w:sz w:val="22"/>
                <w:lang w:val="es-ES"/>
              </w:rPr>
              <w:t>"</w:t>
            </w:r>
            <w:r w:rsidRPr="00357C6C">
              <w:rPr>
                <w:sz w:val="22"/>
                <w:lang w:val="es-ES"/>
              </w:rPr>
              <w:t>limitada y condicional</w:t>
            </w:r>
            <w:r w:rsidR="009B6AB9">
              <w:rPr>
                <w:sz w:val="22"/>
                <w:lang w:val="es-ES"/>
              </w:rPr>
              <w:t>"</w:t>
            </w:r>
            <w:r w:rsidRPr="00357C6C">
              <w:rPr>
                <w:sz w:val="22"/>
                <w:lang w:val="es-ES"/>
              </w:rPr>
              <w:t>»</w:t>
            </w:r>
            <w:r w:rsidR="009B6AB9" w:rsidRPr="00357C6C">
              <w:rPr>
                <w:sz w:val="22"/>
                <w:lang w:val="es-ES"/>
              </w:rPr>
              <w:t>.</w:t>
            </w:r>
          </w:p>
          <w:p w14:paraId="00A33824" w14:textId="77777777" w:rsidR="00967792" w:rsidRPr="00357C6C" w:rsidRDefault="00967792" w:rsidP="00B53355">
            <w:pPr>
              <w:spacing w:before="40" w:after="40"/>
              <w:rPr>
                <w:sz w:val="22"/>
                <w:lang w:val="es-ES"/>
              </w:rPr>
            </w:pPr>
            <w:r w:rsidRPr="00357C6C">
              <w:rPr>
                <w:sz w:val="22"/>
                <w:lang w:val="es-ES"/>
              </w:rPr>
              <w:t>3.20</w:t>
            </w:r>
            <w:r w:rsidRPr="00357C6C">
              <w:rPr>
                <w:sz w:val="22"/>
                <w:lang w:val="es-ES"/>
              </w:rPr>
              <w:tab/>
              <w:t>Con respecto al punto 9 del orden del día, relativo a la validez de las decisiones de la CMR registradas en el acta de una Conferencia Mundial de Radiocomunicaciones, se solicita una vez más a la Plenaria que examine y apruebe la siguiente conclusión de la Comisión 5:</w:t>
            </w:r>
          </w:p>
          <w:p w14:paraId="10AD62B2" w14:textId="7020810A" w:rsidR="00967792" w:rsidRPr="00357C6C" w:rsidRDefault="00967792" w:rsidP="00B53355">
            <w:pPr>
              <w:spacing w:before="40" w:after="40"/>
              <w:rPr>
                <w:sz w:val="22"/>
                <w:lang w:val="es-ES"/>
              </w:rPr>
            </w:pPr>
            <w:r w:rsidRPr="00357C6C">
              <w:rPr>
                <w:sz w:val="22"/>
                <w:lang w:val="es-ES"/>
              </w:rPr>
              <w:t>«La CMR-15 encarga a la Oficina que publique, lo antes posible tras el final de la CMR-15, una Carta Circular con todas las decisiones tomadas por la CMR-15 registradas en el Acta de la Plenaria, y que la publique en el sitio web de la UIT»</w:t>
            </w:r>
            <w:r w:rsidR="009B6AB9" w:rsidRPr="00357C6C">
              <w:rPr>
                <w:sz w:val="22"/>
                <w:lang w:val="es-ES"/>
              </w:rPr>
              <w:t>.</w:t>
            </w:r>
          </w:p>
          <w:p w14:paraId="66B0012F" w14:textId="77777777" w:rsidR="00967792" w:rsidRPr="00357C6C" w:rsidRDefault="00967792" w:rsidP="00B53355">
            <w:pPr>
              <w:spacing w:before="40" w:after="40"/>
              <w:rPr>
                <w:sz w:val="22"/>
                <w:lang w:val="es-ES"/>
              </w:rPr>
            </w:pPr>
            <w:r w:rsidRPr="00357C6C">
              <w:rPr>
                <w:sz w:val="22"/>
                <w:lang w:val="es-ES"/>
              </w:rPr>
              <w:t>3.21</w:t>
            </w:r>
            <w:r w:rsidRPr="00357C6C">
              <w:rPr>
                <w:sz w:val="22"/>
                <w:lang w:val="es-ES"/>
              </w:rPr>
              <w:tab/>
              <w:t>Por último, con respecto al punto 9.2 del orden del día, sobre puesta en servicio de asignaciones de frecuencia a sistemas del SFS/SMS no OSG, se solicita a la Plenaria que examine y apruebe la siguiente conclusión de la Comisión 5:</w:t>
            </w:r>
          </w:p>
          <w:p w14:paraId="092A4819" w14:textId="58719EAD" w:rsidR="00967792" w:rsidRPr="00357C6C" w:rsidRDefault="00967792" w:rsidP="00B53355">
            <w:pPr>
              <w:spacing w:before="40" w:after="40"/>
              <w:rPr>
                <w:sz w:val="22"/>
                <w:lang w:val="es-ES"/>
              </w:rPr>
            </w:pPr>
            <w:r w:rsidRPr="00357C6C">
              <w:rPr>
                <w:sz w:val="22"/>
                <w:lang w:val="es-ES"/>
              </w:rPr>
              <w:t>«La CMR-15 debatió la sección 3.2.2.4.4 del Documento</w:t>
            </w:r>
            <w:r w:rsidR="002D0088">
              <w:rPr>
                <w:sz w:val="22"/>
                <w:lang w:val="es-ES"/>
              </w:rPr>
              <w:t> </w:t>
            </w:r>
            <w:r w:rsidRPr="00357C6C">
              <w:rPr>
                <w:sz w:val="22"/>
                <w:lang w:val="es-ES"/>
              </w:rPr>
              <w:t>4(Add.2)(Rev.1), Informe del Director de la Oficina de Radiocomunicaciones (BR), con respecto a la puesta en servicio de asignaciones de frecuencia a sistemas del SFS/SMS no OSG. La CMR-15 no logró llegar a una conclusión definitiva sobre el tema planteado por la BR, pero reconoció la falta de disposiciones específicas en el Reglamento de Radiocomunicaciones.</w:t>
            </w:r>
          </w:p>
          <w:p w14:paraId="361CA4F9" w14:textId="774B2822" w:rsidR="00967792" w:rsidRPr="00357C6C" w:rsidRDefault="00967792" w:rsidP="00B53355">
            <w:pPr>
              <w:spacing w:before="40" w:after="40"/>
              <w:rPr>
                <w:sz w:val="22"/>
                <w:lang w:val="es-ES"/>
              </w:rPr>
            </w:pPr>
            <w:r w:rsidRPr="00357C6C">
              <w:rPr>
                <w:sz w:val="22"/>
                <w:lang w:val="es-ES"/>
              </w:rPr>
              <w:t xml:space="preserve">La CMR-15 invita al UIT-R a que examine, en el marco del punto permanente 7 del orden día de la CMR, la posibilidad de elaborar disposiciones reglamentarias que requieran fechas de referencia adicionales posteriores a las que figuran en los números </w:t>
            </w:r>
            <w:r w:rsidRPr="00357C6C">
              <w:rPr>
                <w:b/>
                <w:sz w:val="22"/>
                <w:lang w:val="es-ES"/>
              </w:rPr>
              <w:t>11.25</w:t>
            </w:r>
            <w:r w:rsidRPr="00357C6C">
              <w:rPr>
                <w:sz w:val="22"/>
                <w:lang w:val="es-ES"/>
              </w:rPr>
              <w:t xml:space="preserve"> y </w:t>
            </w:r>
            <w:r w:rsidRPr="00357C6C">
              <w:rPr>
                <w:b/>
                <w:sz w:val="22"/>
                <w:lang w:val="es-ES"/>
              </w:rPr>
              <w:t>11.44</w:t>
            </w:r>
            <w:r w:rsidRPr="00357C6C">
              <w:rPr>
                <w:sz w:val="22"/>
                <w:lang w:val="es-ES"/>
              </w:rPr>
              <w:t xml:space="preserve"> </w:t>
            </w:r>
            <w:r w:rsidRPr="00357C6C">
              <w:rPr>
                <w:sz w:val="22"/>
                <w:lang w:val="es-ES"/>
              </w:rPr>
              <w:lastRenderedPageBreak/>
              <w:t>del RR en relación con los sistemas mencionados en el párrafo anterior. En el presente estudio también pueden examinarse las repercusiones de la aplicación de dichas fechas de referencia a los sistemas del SFS/SMS no OSG puestos en servicio después de la CMR-15»</w:t>
            </w:r>
            <w:r w:rsidR="009B6AB9" w:rsidRPr="00357C6C">
              <w:rPr>
                <w:sz w:val="22"/>
                <w:lang w:val="es-ES"/>
              </w:rPr>
              <w:t>.</w:t>
            </w:r>
          </w:p>
          <w:p w14:paraId="2E5EA029" w14:textId="1F6F55D9" w:rsidR="00967792" w:rsidRPr="00357C6C" w:rsidRDefault="00967792" w:rsidP="00B53355">
            <w:pPr>
              <w:spacing w:before="40" w:after="40"/>
              <w:rPr>
                <w:sz w:val="22"/>
                <w:lang w:val="es-ES"/>
              </w:rPr>
            </w:pPr>
            <w:r w:rsidRPr="00357C6C">
              <w:rPr>
                <w:sz w:val="22"/>
                <w:lang w:val="es-ES"/>
              </w:rPr>
              <w:t>3.22</w:t>
            </w:r>
            <w:r w:rsidRPr="00357C6C">
              <w:rPr>
                <w:sz w:val="22"/>
                <w:lang w:val="es-ES"/>
              </w:rPr>
              <w:tab/>
              <w:t xml:space="preserve">Se </w:t>
            </w:r>
            <w:r w:rsidRPr="00357C6C">
              <w:rPr>
                <w:b/>
                <w:sz w:val="22"/>
                <w:lang w:val="es-ES"/>
              </w:rPr>
              <w:t xml:space="preserve">aprueba el </w:t>
            </w:r>
            <w:r w:rsidRPr="00357C6C">
              <w:rPr>
                <w:sz w:val="22"/>
                <w:lang w:val="es-ES"/>
              </w:rPr>
              <w:t>Documento 354 y las conclusiones que figuran en el mismo.</w:t>
            </w:r>
          </w:p>
        </w:tc>
        <w:tc>
          <w:tcPr>
            <w:tcW w:w="1548" w:type="pct"/>
          </w:tcPr>
          <w:p w14:paraId="254A8049" w14:textId="77777777" w:rsidR="00967792" w:rsidRPr="00D2027A" w:rsidRDefault="00967792" w:rsidP="00B53355">
            <w:pPr>
              <w:pStyle w:val="Tabletext"/>
              <w:rPr>
                <w:rFonts w:asciiTheme="majorBidi" w:hAnsiTheme="majorBidi" w:cstheme="majorBidi"/>
                <w:bCs/>
                <w:lang w:val="es-ES"/>
              </w:rPr>
            </w:pPr>
            <w:r w:rsidRPr="00D2027A">
              <w:rPr>
                <w:rFonts w:asciiTheme="majorBidi" w:hAnsiTheme="majorBidi" w:cstheme="majorBidi"/>
                <w:bCs/>
                <w:lang w:val="es-ES"/>
              </w:rPr>
              <w:lastRenderedPageBreak/>
              <w:t xml:space="preserve">La Junta sigue tomando decisiones sobre las solicitudes de prórroga debido al </w:t>
            </w:r>
            <w:r w:rsidRPr="00266695">
              <w:rPr>
                <w:lang w:val="es-ES"/>
              </w:rPr>
              <w:t>lanzamiento</w:t>
            </w:r>
            <w:r w:rsidRPr="00D2027A">
              <w:rPr>
                <w:rFonts w:asciiTheme="majorBidi" w:hAnsiTheme="majorBidi" w:cstheme="majorBidi"/>
                <w:bCs/>
                <w:lang w:val="es-ES"/>
              </w:rPr>
              <w:t xml:space="preserve"> de otro satélite o a un caso de fuerza mayor a raíz de esa confirmación de la CMR-15.</w:t>
            </w:r>
          </w:p>
          <w:p w14:paraId="63690F6C" w14:textId="78C668E2" w:rsidR="00967792" w:rsidRPr="00D2027A" w:rsidDel="009440F5" w:rsidRDefault="00967792" w:rsidP="00B53355">
            <w:pPr>
              <w:pStyle w:val="Tabletext"/>
              <w:rPr>
                <w:rFonts w:asciiTheme="majorBidi" w:hAnsiTheme="majorBidi" w:cstheme="majorBidi"/>
                <w:szCs w:val="24"/>
                <w:lang w:val="es-ES"/>
              </w:rPr>
            </w:pPr>
            <w:r w:rsidRPr="00D2027A">
              <w:rPr>
                <w:rFonts w:asciiTheme="majorBidi" w:hAnsiTheme="majorBidi" w:cstheme="majorBidi"/>
                <w:bCs/>
                <w:lang w:val="es-ES"/>
              </w:rPr>
              <w:t xml:space="preserve">La Oficina publica las cartas circulares sobre las decisiones de la CMR; véase </w:t>
            </w:r>
            <w:hyperlink r:id="rId180" w:history="1">
              <w:r w:rsidRPr="00D2027A">
                <w:rPr>
                  <w:rStyle w:val="Hyperlink"/>
                  <w:rFonts w:asciiTheme="majorBidi" w:hAnsiTheme="majorBidi" w:cstheme="majorBidi"/>
                  <w:bCs/>
                  <w:lang w:val="es-ES"/>
                </w:rPr>
                <w:t>CR/389</w:t>
              </w:r>
            </w:hyperlink>
            <w:r w:rsidRPr="00D2027A">
              <w:rPr>
                <w:rFonts w:asciiTheme="majorBidi" w:hAnsiTheme="majorBidi" w:cstheme="majorBidi"/>
                <w:bCs/>
                <w:lang w:val="es-ES"/>
              </w:rPr>
              <w:t xml:space="preserve"> y </w:t>
            </w:r>
            <w:hyperlink r:id="rId181" w:history="1">
              <w:r w:rsidRPr="00D2027A">
                <w:rPr>
                  <w:rStyle w:val="Hyperlink"/>
                  <w:rFonts w:asciiTheme="majorBidi" w:hAnsiTheme="majorBidi" w:cstheme="majorBidi"/>
                  <w:bCs/>
                  <w:lang w:val="es-ES"/>
                </w:rPr>
                <w:t>CR/456</w:t>
              </w:r>
            </w:hyperlink>
            <w:r w:rsidRPr="00D2027A">
              <w:rPr>
                <w:rFonts w:asciiTheme="majorBidi" w:hAnsiTheme="majorBidi" w:cstheme="majorBidi"/>
                <w:bCs/>
                <w:lang w:val="es-ES"/>
              </w:rPr>
              <w:t>.</w:t>
            </w:r>
          </w:p>
        </w:tc>
      </w:tr>
      <w:tr w:rsidR="00967792" w:rsidRPr="00D2027A" w14:paraId="1935E241" w14:textId="77777777" w:rsidTr="00924C8B">
        <w:trPr>
          <w:jc w:val="center"/>
        </w:trPr>
        <w:tc>
          <w:tcPr>
            <w:tcW w:w="183" w:type="pct"/>
          </w:tcPr>
          <w:p w14:paraId="4DFDF030" w14:textId="70E1528A" w:rsidR="00967792" w:rsidRPr="00A616CA" w:rsidRDefault="00967792" w:rsidP="00B53355">
            <w:pPr>
              <w:pStyle w:val="Tabletext"/>
              <w:rPr>
                <w:lang w:val="es-ES"/>
              </w:rPr>
            </w:pPr>
            <w:r w:rsidRPr="00A616CA">
              <w:rPr>
                <w:lang w:val="es-ES"/>
              </w:rPr>
              <w:lastRenderedPageBreak/>
              <w:t>53</w:t>
            </w:r>
          </w:p>
        </w:tc>
        <w:tc>
          <w:tcPr>
            <w:tcW w:w="434" w:type="pct"/>
          </w:tcPr>
          <w:p w14:paraId="21F44146" w14:textId="1C10CA46" w:rsidR="00967792" w:rsidRPr="00A616CA" w:rsidRDefault="00967792" w:rsidP="00B53355">
            <w:pPr>
              <w:pStyle w:val="Tabletext"/>
              <w:rPr>
                <w:lang w:val="es-ES"/>
              </w:rPr>
            </w:pPr>
            <w:r w:rsidRPr="00A616CA">
              <w:rPr>
                <w:lang w:val="es-ES"/>
              </w:rPr>
              <w:t>CMR-15</w:t>
            </w:r>
          </w:p>
        </w:tc>
        <w:tc>
          <w:tcPr>
            <w:tcW w:w="523" w:type="pct"/>
          </w:tcPr>
          <w:p w14:paraId="46DEFB5A" w14:textId="6FA1606A" w:rsidR="00967792" w:rsidRPr="00D2027A" w:rsidRDefault="00967792" w:rsidP="00B53355">
            <w:pPr>
              <w:pStyle w:val="Tabletext"/>
              <w:rPr>
                <w:rFonts w:asciiTheme="majorBidi" w:hAnsiTheme="majorBidi" w:cstheme="majorBidi"/>
                <w:bCs/>
                <w:szCs w:val="24"/>
                <w:lang w:val="es-ES"/>
              </w:rPr>
            </w:pPr>
            <w:r w:rsidRPr="00D2027A">
              <w:rPr>
                <w:rFonts w:asciiTheme="majorBidi" w:hAnsiTheme="majorBidi" w:cstheme="majorBidi"/>
                <w:bCs/>
                <w:szCs w:val="24"/>
                <w:lang w:val="es-ES"/>
              </w:rPr>
              <w:t>8</w:t>
            </w:r>
            <w:r w:rsidRPr="00357C6C">
              <w:rPr>
                <w:rFonts w:asciiTheme="majorBidi" w:hAnsiTheme="majorBidi" w:cstheme="majorBidi"/>
                <w:bCs/>
                <w:szCs w:val="24"/>
                <w:lang w:val="es-ES"/>
              </w:rPr>
              <w:t>ª</w:t>
            </w:r>
            <w:r w:rsidRPr="00D2027A">
              <w:rPr>
                <w:rFonts w:asciiTheme="majorBidi" w:hAnsiTheme="majorBidi" w:cstheme="majorBidi"/>
                <w:bCs/>
                <w:szCs w:val="24"/>
                <w:lang w:val="es-ES"/>
              </w:rPr>
              <w:t xml:space="preserve"> Plenaria</w:t>
            </w:r>
            <w:r w:rsidR="002D0088">
              <w:rPr>
                <w:rFonts w:asciiTheme="majorBidi" w:hAnsiTheme="majorBidi" w:cstheme="majorBidi"/>
                <w:bCs/>
                <w:szCs w:val="24"/>
                <w:lang w:val="es-ES"/>
              </w:rPr>
              <w:br/>
            </w:r>
            <w:hyperlink r:id="rId182">
              <w:r w:rsidRPr="00D2027A">
                <w:rPr>
                  <w:rStyle w:val="Hyperlink"/>
                  <w:rFonts w:asciiTheme="majorBidi" w:hAnsiTheme="majorBidi" w:cstheme="majorBidi"/>
                  <w:bCs/>
                  <w:szCs w:val="24"/>
                  <w:lang w:val="es-ES"/>
                </w:rPr>
                <w:t>Doc. CMR15/505</w:t>
              </w:r>
            </w:hyperlink>
          </w:p>
          <w:p w14:paraId="3278DA1F" w14:textId="323D3BF1" w:rsidR="00967792" w:rsidRPr="00D2027A" w:rsidRDefault="00967792" w:rsidP="00B53355">
            <w:pPr>
              <w:pStyle w:val="Tabletext"/>
              <w:rPr>
                <w:rFonts w:asciiTheme="majorBidi" w:hAnsiTheme="majorBidi" w:cstheme="majorBidi"/>
                <w:bCs/>
                <w:szCs w:val="24"/>
                <w:lang w:val="es-ES"/>
              </w:rPr>
            </w:pPr>
            <w:r w:rsidRPr="00357C6C">
              <w:rPr>
                <w:lang w:val="es-ES"/>
              </w:rPr>
              <w:t>Aprobación</w:t>
            </w:r>
            <w:r w:rsidRPr="00D2027A">
              <w:rPr>
                <w:rFonts w:asciiTheme="majorBidi" w:hAnsiTheme="majorBidi" w:cstheme="majorBidi"/>
                <w:bCs/>
                <w:szCs w:val="24"/>
                <w:lang w:val="es-ES"/>
              </w:rPr>
              <w:t xml:space="preserve"> del Documento CMR15/398</w:t>
            </w:r>
          </w:p>
        </w:tc>
        <w:tc>
          <w:tcPr>
            <w:tcW w:w="2312" w:type="pct"/>
          </w:tcPr>
          <w:p w14:paraId="7AFD4731" w14:textId="77777777" w:rsidR="00967792" w:rsidRPr="00357C6C" w:rsidRDefault="00967792" w:rsidP="00B53355">
            <w:pPr>
              <w:spacing w:before="40" w:after="40"/>
              <w:rPr>
                <w:sz w:val="22"/>
                <w:lang w:val="es-ES"/>
              </w:rPr>
            </w:pPr>
            <w:r w:rsidRPr="00357C6C">
              <w:rPr>
                <w:sz w:val="22"/>
                <w:lang w:val="es-ES"/>
              </w:rPr>
              <w:t>1.32</w:t>
            </w:r>
            <w:r w:rsidRPr="00357C6C">
              <w:rPr>
                <w:sz w:val="22"/>
                <w:lang w:val="es-ES"/>
              </w:rPr>
              <w:tab/>
            </w:r>
            <w:bookmarkStart w:id="0" w:name="lt_pId120"/>
            <w:r w:rsidRPr="00357C6C">
              <w:rPr>
                <w:sz w:val="22"/>
                <w:lang w:val="es-ES"/>
              </w:rPr>
              <w:t xml:space="preserve">El </w:t>
            </w:r>
            <w:r w:rsidRPr="00357C6C">
              <w:rPr>
                <w:b/>
                <w:bCs/>
                <w:sz w:val="22"/>
                <w:lang w:val="es-ES"/>
              </w:rPr>
              <w:t>Presidente</w:t>
            </w:r>
            <w:r w:rsidRPr="00357C6C">
              <w:rPr>
                <w:sz w:val="22"/>
                <w:lang w:val="es-ES"/>
              </w:rPr>
              <w:t xml:space="preserve"> propone que se tome una decisión sobra cada una de las propuestas incluidas en el Documento 398 por separado.</w:t>
            </w:r>
            <w:bookmarkEnd w:id="0"/>
          </w:p>
          <w:p w14:paraId="61A1215A" w14:textId="5AD2CA0D" w:rsidR="00967792" w:rsidRPr="00357C6C" w:rsidRDefault="00967792" w:rsidP="00B53355">
            <w:pPr>
              <w:spacing w:before="40" w:after="40"/>
              <w:rPr>
                <w:sz w:val="22"/>
                <w:lang w:val="es-ES"/>
              </w:rPr>
            </w:pPr>
            <w:r w:rsidRPr="00357C6C">
              <w:rPr>
                <w:sz w:val="22"/>
                <w:lang w:val="es-ES"/>
              </w:rPr>
              <w:t>1.33</w:t>
            </w:r>
            <w:r w:rsidRPr="00357C6C">
              <w:rPr>
                <w:sz w:val="22"/>
                <w:lang w:val="es-ES"/>
              </w:rPr>
              <w:tab/>
            </w:r>
            <w:bookmarkStart w:id="1" w:name="lt_pId122"/>
            <w:r w:rsidRPr="00357C6C">
              <w:rPr>
                <w:sz w:val="22"/>
                <w:lang w:val="es-ES"/>
              </w:rPr>
              <w:t xml:space="preserve">La primara propuesta, relativa al tema L, se </w:t>
            </w:r>
            <w:r w:rsidRPr="00357C6C">
              <w:rPr>
                <w:b/>
                <w:sz w:val="22"/>
                <w:lang w:val="es-ES"/>
              </w:rPr>
              <w:t>aprueba</w:t>
            </w:r>
            <w:r w:rsidRPr="00357C6C">
              <w:rPr>
                <w:sz w:val="22"/>
                <w:lang w:val="es-ES"/>
              </w:rPr>
              <w:t xml:space="preserve"> con el texto siguiente:</w:t>
            </w:r>
            <w:bookmarkEnd w:id="1"/>
          </w:p>
          <w:p w14:paraId="7D8971F4" w14:textId="0D0431AE" w:rsidR="00967792" w:rsidRPr="00357C6C" w:rsidRDefault="00967792" w:rsidP="00B53355">
            <w:pPr>
              <w:spacing w:before="40" w:after="40"/>
              <w:rPr>
                <w:sz w:val="22"/>
                <w:lang w:val="es-ES"/>
              </w:rPr>
            </w:pPr>
            <w:r w:rsidRPr="00357C6C">
              <w:rPr>
                <w:sz w:val="22"/>
                <w:lang w:val="es-ES"/>
              </w:rPr>
              <w:tab/>
              <w:t>«Al debatir la cuestión de las posibles modificaciones a los Planes de los Apéndices 30 y 30A de las Regiones 1 y 3, la CMR-15 reconoce que puede haber casos en los que se requiera la asistencia de la Oficina a los países que se vean sometidos a un caso de fuerza mayor. Para las administraciones de esos países, tal vez no sea posible recibir la correspondencia remitida por la Oficina o bien contestar a dicha correspondencia en los plazos establecidos en los §</w:t>
            </w:r>
            <w:r w:rsidR="002D0088">
              <w:rPr>
                <w:sz w:val="22"/>
                <w:lang w:val="es-ES"/>
              </w:rPr>
              <w:t> </w:t>
            </w:r>
            <w:r w:rsidRPr="00357C6C">
              <w:rPr>
                <w:sz w:val="22"/>
                <w:lang w:val="es-ES"/>
              </w:rPr>
              <w:t>4.1.10</w:t>
            </w:r>
            <w:r w:rsidR="009B6AB9">
              <w:rPr>
                <w:sz w:val="22"/>
                <w:lang w:val="es-ES"/>
              </w:rPr>
              <w:t>a</w:t>
            </w:r>
            <w:r w:rsidR="002D0088">
              <w:rPr>
                <w:sz w:val="22"/>
                <w:lang w:val="es-ES"/>
              </w:rPr>
              <w:noBreakHyphen/>
            </w:r>
            <w:r w:rsidRPr="00357C6C">
              <w:rPr>
                <w:sz w:val="22"/>
                <w:lang w:val="es-ES"/>
              </w:rPr>
              <w:t xml:space="preserve">4.1.10d del Artículo 4 de los Apéndices </w:t>
            </w:r>
            <w:r w:rsidRPr="00357C6C">
              <w:rPr>
                <w:b/>
                <w:bCs/>
                <w:sz w:val="22"/>
                <w:lang w:val="es-ES"/>
              </w:rPr>
              <w:t>30</w:t>
            </w:r>
            <w:r w:rsidRPr="00357C6C">
              <w:rPr>
                <w:sz w:val="22"/>
                <w:lang w:val="es-ES"/>
              </w:rPr>
              <w:t xml:space="preserve"> y </w:t>
            </w:r>
            <w:r w:rsidRPr="00357C6C">
              <w:rPr>
                <w:b/>
                <w:bCs/>
                <w:sz w:val="22"/>
                <w:lang w:val="es-ES"/>
              </w:rPr>
              <w:t>30A</w:t>
            </w:r>
            <w:r w:rsidRPr="00357C6C">
              <w:rPr>
                <w:sz w:val="22"/>
                <w:lang w:val="es-ES"/>
              </w:rPr>
              <w:t xml:space="preserve"> del RR, y la ausencia de dicha correspondencia podría repercutir negativamente en la situación de referencia de las asignaciones del Plan de esas administraciones. En tales casos, esas administraciones podrían beneficiarse de las medidas específicas adoptadas por la Oficina para intentar resolver esta situación y la CMR-15 encarga al Director de la Oficina de Radiocomunicaciones que investigue estos problemas y solicite a la Junta del Reglamento de Radiocomunicaciones que contemple esas situaciones específicas»</w:t>
            </w:r>
            <w:r w:rsidR="009B6AB9" w:rsidRPr="00357C6C">
              <w:rPr>
                <w:sz w:val="22"/>
                <w:lang w:val="es-ES"/>
              </w:rPr>
              <w:t>.</w:t>
            </w:r>
          </w:p>
          <w:p w14:paraId="2D36380D" w14:textId="1A0A0DC0" w:rsidR="00967792" w:rsidRPr="00357C6C" w:rsidRDefault="00357C6C" w:rsidP="00B53355">
            <w:pPr>
              <w:spacing w:before="40" w:after="40"/>
              <w:rPr>
                <w:sz w:val="22"/>
                <w:lang w:val="es-ES"/>
              </w:rPr>
            </w:pPr>
            <w:bookmarkStart w:id="2" w:name="lt_pId129"/>
            <w:r>
              <w:rPr>
                <w:sz w:val="22"/>
                <w:lang w:val="es-ES"/>
              </w:rPr>
              <w:t>..</w:t>
            </w:r>
            <w:r w:rsidR="00967792" w:rsidRPr="00357C6C">
              <w:rPr>
                <w:sz w:val="22"/>
                <w:lang w:val="es-ES"/>
              </w:rPr>
              <w:t>.</w:t>
            </w:r>
            <w:bookmarkEnd w:id="2"/>
          </w:p>
          <w:p w14:paraId="1411179A" w14:textId="77777777" w:rsidR="00967792" w:rsidRPr="00357C6C" w:rsidRDefault="00967792" w:rsidP="00B53355">
            <w:pPr>
              <w:spacing w:before="40" w:after="40"/>
              <w:rPr>
                <w:sz w:val="22"/>
                <w:lang w:val="es-ES"/>
              </w:rPr>
            </w:pPr>
            <w:r w:rsidRPr="00357C6C">
              <w:rPr>
                <w:sz w:val="22"/>
                <w:lang w:val="es-ES"/>
              </w:rPr>
              <w:t>1.36</w:t>
            </w:r>
            <w:r w:rsidRPr="00357C6C">
              <w:rPr>
                <w:sz w:val="22"/>
                <w:lang w:val="es-ES"/>
              </w:rPr>
              <w:tab/>
            </w:r>
            <w:bookmarkStart w:id="3" w:name="lt_pId133"/>
            <w:r w:rsidRPr="00357C6C">
              <w:rPr>
                <w:sz w:val="22"/>
                <w:lang w:val="es-ES"/>
              </w:rPr>
              <w:t xml:space="preserve">La cuarta propuesta, relativa a la coordinación de sistemas no OSG del SFS, se </w:t>
            </w:r>
            <w:r w:rsidRPr="00357C6C">
              <w:rPr>
                <w:b/>
                <w:sz w:val="22"/>
                <w:lang w:val="es-ES"/>
              </w:rPr>
              <w:t>aprueba</w:t>
            </w:r>
            <w:r w:rsidRPr="00357C6C">
              <w:rPr>
                <w:sz w:val="22"/>
                <w:lang w:val="es-ES"/>
              </w:rPr>
              <w:t xml:space="preserve"> con el texto siguiente: </w:t>
            </w:r>
            <w:bookmarkEnd w:id="3"/>
          </w:p>
          <w:p w14:paraId="6EC3305B" w14:textId="2464EE23" w:rsidR="00967792" w:rsidRPr="00357C6C" w:rsidRDefault="00967792" w:rsidP="00B53355">
            <w:pPr>
              <w:spacing w:before="40" w:after="40"/>
              <w:rPr>
                <w:sz w:val="22"/>
                <w:lang w:val="es-ES"/>
              </w:rPr>
            </w:pPr>
            <w:r w:rsidRPr="00357C6C">
              <w:rPr>
                <w:sz w:val="22"/>
                <w:lang w:val="es-ES"/>
              </w:rPr>
              <w:tab/>
            </w:r>
            <w:bookmarkStart w:id="4" w:name="lt_pId135"/>
            <w:r w:rsidRPr="00357C6C">
              <w:rPr>
                <w:sz w:val="22"/>
                <w:lang w:val="es-ES"/>
              </w:rPr>
              <w:t xml:space="preserve">«La CMR-15 recibió una contribución relativa a la sección 3.2.2.4.3 del Informe del Director (Documento </w:t>
            </w:r>
            <w:hyperlink r:id="rId183" w:history="1">
              <w:r w:rsidRPr="009B6AB9">
                <w:rPr>
                  <w:rStyle w:val="Hyperlink"/>
                  <w:sz w:val="22"/>
                  <w:lang w:val="es-ES"/>
                </w:rPr>
                <w:t>4(Add.2)(Rev.1)</w:t>
              </w:r>
            </w:hyperlink>
            <w:r w:rsidRPr="00357C6C">
              <w:rPr>
                <w:sz w:val="22"/>
                <w:lang w:val="es-ES"/>
              </w:rPr>
              <w:t xml:space="preserve">) sobre la coordinación entre sistemas del SFS no OSG. La CMR-15 reconoce que las administraciones notificantes pueden convenir en organizar </w:t>
            </w:r>
            <w:r w:rsidRPr="00357C6C">
              <w:rPr>
                <w:sz w:val="22"/>
                <w:lang w:val="es-ES"/>
              </w:rPr>
              <w:lastRenderedPageBreak/>
              <w:t>reuniones de coordinación sobre los sistemas del SFS no OSG, y pueden solicitar asistencia a la Oficina con arreglo a los procedimientos vigentes.</w:t>
            </w:r>
          </w:p>
          <w:p w14:paraId="512302DA" w14:textId="0450188D" w:rsidR="00967792" w:rsidRPr="00357C6C" w:rsidRDefault="00967792" w:rsidP="00B53355">
            <w:pPr>
              <w:spacing w:before="40" w:after="40"/>
              <w:rPr>
                <w:sz w:val="22"/>
                <w:lang w:val="es-ES"/>
              </w:rPr>
            </w:pPr>
            <w:r w:rsidRPr="00357C6C">
              <w:rPr>
                <w:sz w:val="22"/>
                <w:lang w:val="es-ES"/>
              </w:rPr>
              <w:t xml:space="preserve">La coordinación entre sistemas del SFS no OSG en las bandas sujetas a la Sección II del Artículo </w:t>
            </w:r>
            <w:r w:rsidRPr="009B6AB9">
              <w:rPr>
                <w:b/>
                <w:bCs/>
                <w:sz w:val="22"/>
                <w:lang w:val="es-ES"/>
              </w:rPr>
              <w:t>9</w:t>
            </w:r>
            <w:r w:rsidRPr="00357C6C">
              <w:rPr>
                <w:sz w:val="22"/>
                <w:lang w:val="es-ES"/>
              </w:rPr>
              <w:t xml:space="preserve"> del RR puede seguir examinándose en el marco del UIT-R, y toda modificación de los procedimientos, en su caso, puede presentarse en el marco del punto 7 del orden del día de la CMR</w:t>
            </w:r>
            <w:r w:rsidR="009B6AB9">
              <w:rPr>
                <w:sz w:val="22"/>
                <w:lang w:val="es-ES"/>
              </w:rPr>
              <w:noBreakHyphen/>
            </w:r>
            <w:r w:rsidRPr="00357C6C">
              <w:rPr>
                <w:sz w:val="22"/>
                <w:lang w:val="es-ES"/>
              </w:rPr>
              <w:t>19.»</w:t>
            </w:r>
          </w:p>
          <w:bookmarkEnd w:id="4"/>
          <w:p w14:paraId="47313F55" w14:textId="77777777" w:rsidR="00967792" w:rsidRPr="00357C6C" w:rsidRDefault="00967792" w:rsidP="00B53355">
            <w:pPr>
              <w:spacing w:before="40" w:after="40"/>
              <w:rPr>
                <w:sz w:val="22"/>
                <w:lang w:val="es-ES"/>
              </w:rPr>
            </w:pPr>
            <w:r w:rsidRPr="00357C6C">
              <w:rPr>
                <w:sz w:val="22"/>
                <w:lang w:val="es-ES"/>
              </w:rPr>
              <w:t>1.37</w:t>
            </w:r>
            <w:r w:rsidRPr="00357C6C">
              <w:rPr>
                <w:sz w:val="22"/>
                <w:lang w:val="es-ES"/>
              </w:rPr>
              <w:tab/>
            </w:r>
            <w:bookmarkStart w:id="5" w:name="lt_pId140"/>
            <w:r w:rsidRPr="00357C6C">
              <w:rPr>
                <w:sz w:val="22"/>
                <w:lang w:val="es-ES"/>
              </w:rPr>
              <w:t xml:space="preserve">La quinta propuesta, relativa a la notificación de las estaciones terrenales típicas del sistema fijo por satélite se </w:t>
            </w:r>
            <w:r w:rsidRPr="00357C6C">
              <w:rPr>
                <w:b/>
                <w:sz w:val="22"/>
                <w:lang w:val="es-ES"/>
              </w:rPr>
              <w:t>aprueba</w:t>
            </w:r>
            <w:r w:rsidRPr="00357C6C">
              <w:rPr>
                <w:sz w:val="22"/>
                <w:lang w:val="es-ES"/>
              </w:rPr>
              <w:t xml:space="preserve"> con el texto siguiente: </w:t>
            </w:r>
            <w:bookmarkEnd w:id="5"/>
          </w:p>
          <w:p w14:paraId="47578D6D" w14:textId="766B22C1" w:rsidR="00967792" w:rsidRPr="00357C6C" w:rsidRDefault="00967792" w:rsidP="00B53355">
            <w:pPr>
              <w:spacing w:before="40" w:after="40"/>
              <w:rPr>
                <w:sz w:val="22"/>
                <w:lang w:val="es-ES"/>
              </w:rPr>
            </w:pPr>
            <w:r w:rsidRPr="00357C6C">
              <w:rPr>
                <w:sz w:val="22"/>
                <w:lang w:val="es-ES"/>
              </w:rPr>
              <w:tab/>
            </w:r>
            <w:bookmarkStart w:id="6" w:name="lt_pId142"/>
            <w:r w:rsidRPr="00357C6C">
              <w:rPr>
                <w:sz w:val="22"/>
                <w:lang w:val="es-ES"/>
              </w:rPr>
              <w:t>«Al examinar el tema relativo a la notificación de estaciones terrenas típicas en el servicio fijo por satélite en el Informe del Director (Documento 4(Add.2)(Rev.1) §</w:t>
            </w:r>
            <w:r w:rsidR="009B6AB9">
              <w:rPr>
                <w:sz w:val="22"/>
                <w:lang w:val="es-ES"/>
              </w:rPr>
              <w:t> </w:t>
            </w:r>
            <w:r w:rsidRPr="00357C6C">
              <w:rPr>
                <w:sz w:val="22"/>
                <w:lang w:val="es-ES"/>
              </w:rPr>
              <w:t>3.2.3.8), la CMR-15 llegó a la conclusión de que el UIT-R debe realizar nuevos estudios antes de que sea adoptada una decisión en materia de reglamentación. A los efectos de esos estudios, la CMR-15 acordó encargar a la Oficina que publique una Carta Circular que contenga un formato común en virtud del cual las administraciones puedan presentar a la Oficina, con carácter voluntario, las características y el número de estaciones terrenas típicas implantadas en sus países, en la medida de lo posible, únicamente a efectos informativos»</w:t>
            </w:r>
            <w:r w:rsidR="009B6AB9" w:rsidRPr="00357C6C">
              <w:rPr>
                <w:sz w:val="22"/>
                <w:lang w:val="es-ES"/>
              </w:rPr>
              <w:t>.</w:t>
            </w:r>
          </w:p>
          <w:bookmarkEnd w:id="6"/>
          <w:p w14:paraId="615499DF" w14:textId="0FCA965E" w:rsidR="00967792" w:rsidRPr="00357C6C" w:rsidRDefault="00967792" w:rsidP="00B53355">
            <w:pPr>
              <w:spacing w:before="40" w:after="40"/>
              <w:rPr>
                <w:sz w:val="22"/>
                <w:lang w:val="es-ES"/>
              </w:rPr>
            </w:pPr>
            <w:r w:rsidRPr="00357C6C">
              <w:rPr>
                <w:sz w:val="22"/>
                <w:lang w:val="es-ES"/>
              </w:rPr>
              <w:t>1.38</w:t>
            </w:r>
            <w:r w:rsidRPr="00357C6C">
              <w:rPr>
                <w:sz w:val="22"/>
                <w:lang w:val="es-ES"/>
              </w:rPr>
              <w:tab/>
            </w:r>
            <w:bookmarkStart w:id="7" w:name="lt_pId145"/>
            <w:r w:rsidRPr="00357C6C">
              <w:rPr>
                <w:sz w:val="22"/>
                <w:lang w:val="es-ES"/>
              </w:rPr>
              <w:t xml:space="preserve">El Documento 398, sin las propuestas segunda y tercera que figuran en él, se </w:t>
            </w:r>
            <w:r w:rsidRPr="00357C6C">
              <w:rPr>
                <w:b/>
                <w:sz w:val="22"/>
                <w:lang w:val="es-ES"/>
              </w:rPr>
              <w:t>aprueba</w:t>
            </w:r>
            <w:r w:rsidRPr="00357C6C">
              <w:rPr>
                <w:sz w:val="22"/>
                <w:lang w:val="es-ES"/>
              </w:rPr>
              <w:t>.</w:t>
            </w:r>
            <w:bookmarkEnd w:id="7"/>
          </w:p>
        </w:tc>
        <w:tc>
          <w:tcPr>
            <w:tcW w:w="1548" w:type="pct"/>
          </w:tcPr>
          <w:p w14:paraId="6335922E" w14:textId="70747A85" w:rsidR="00967792" w:rsidRPr="00266695" w:rsidDel="009440F5" w:rsidRDefault="00967792" w:rsidP="00B53355">
            <w:pPr>
              <w:pStyle w:val="Tabletext"/>
              <w:rPr>
                <w:lang w:val="es-ES"/>
              </w:rPr>
            </w:pPr>
            <w:r w:rsidRPr="00266695">
              <w:rPr>
                <w:lang w:val="es-ES"/>
              </w:rPr>
              <w:lastRenderedPageBreak/>
              <w:t>–</w:t>
            </w:r>
          </w:p>
        </w:tc>
      </w:tr>
      <w:tr w:rsidR="00967792" w:rsidRPr="00D2027A" w14:paraId="06E0FD43" w14:textId="77777777" w:rsidTr="00924C8B">
        <w:trPr>
          <w:jc w:val="center"/>
        </w:trPr>
        <w:tc>
          <w:tcPr>
            <w:tcW w:w="183" w:type="pct"/>
          </w:tcPr>
          <w:p w14:paraId="2D454607" w14:textId="52084A16" w:rsidR="00967792" w:rsidRPr="00A616CA" w:rsidRDefault="00967792" w:rsidP="00B53355">
            <w:pPr>
              <w:pStyle w:val="Tabletext"/>
              <w:rPr>
                <w:lang w:val="es-ES"/>
              </w:rPr>
            </w:pPr>
            <w:r w:rsidRPr="00A616CA">
              <w:rPr>
                <w:lang w:val="es-ES"/>
              </w:rPr>
              <w:t>54</w:t>
            </w:r>
          </w:p>
        </w:tc>
        <w:tc>
          <w:tcPr>
            <w:tcW w:w="434" w:type="pct"/>
          </w:tcPr>
          <w:p w14:paraId="559C525C" w14:textId="14EB2E30" w:rsidR="00967792" w:rsidRPr="00A616CA" w:rsidRDefault="00967792" w:rsidP="00B53355">
            <w:pPr>
              <w:pStyle w:val="Tabletext"/>
              <w:rPr>
                <w:lang w:val="es-ES"/>
              </w:rPr>
            </w:pPr>
            <w:r w:rsidRPr="00A616CA">
              <w:rPr>
                <w:lang w:val="es-ES"/>
              </w:rPr>
              <w:t>CMR-15</w:t>
            </w:r>
          </w:p>
        </w:tc>
        <w:tc>
          <w:tcPr>
            <w:tcW w:w="523" w:type="pct"/>
          </w:tcPr>
          <w:p w14:paraId="4F0D42E7" w14:textId="3D179F3B" w:rsidR="00967792" w:rsidRPr="00D2027A" w:rsidRDefault="00967792" w:rsidP="00B53355">
            <w:pPr>
              <w:pStyle w:val="Tabletext"/>
              <w:rPr>
                <w:rFonts w:asciiTheme="majorBidi" w:hAnsiTheme="majorBidi" w:cstheme="majorBidi"/>
                <w:bCs/>
                <w:szCs w:val="24"/>
                <w:lang w:val="es-ES"/>
              </w:rPr>
            </w:pPr>
            <w:r w:rsidRPr="00D2027A">
              <w:rPr>
                <w:rFonts w:asciiTheme="majorBidi" w:hAnsiTheme="majorBidi" w:cstheme="majorBidi"/>
                <w:bCs/>
                <w:szCs w:val="24"/>
                <w:lang w:val="es-ES"/>
              </w:rPr>
              <w:t>8</w:t>
            </w:r>
            <w:r w:rsidRPr="00357C6C">
              <w:rPr>
                <w:rFonts w:asciiTheme="majorBidi" w:hAnsiTheme="majorBidi" w:cstheme="majorBidi"/>
                <w:bCs/>
                <w:szCs w:val="24"/>
                <w:lang w:val="es-ES"/>
              </w:rPr>
              <w:t>ª</w:t>
            </w:r>
            <w:r w:rsidRPr="00D2027A">
              <w:rPr>
                <w:rFonts w:asciiTheme="majorBidi" w:hAnsiTheme="majorBidi" w:cstheme="majorBidi"/>
                <w:bCs/>
                <w:szCs w:val="24"/>
                <w:lang w:val="es-ES"/>
              </w:rPr>
              <w:t xml:space="preserve"> Plenaria</w:t>
            </w:r>
            <w:r w:rsidR="002D0088">
              <w:rPr>
                <w:rFonts w:asciiTheme="majorBidi" w:hAnsiTheme="majorBidi" w:cstheme="majorBidi"/>
                <w:bCs/>
                <w:szCs w:val="24"/>
                <w:lang w:val="es-ES"/>
              </w:rPr>
              <w:br/>
            </w:r>
            <w:hyperlink r:id="rId184">
              <w:r w:rsidRPr="00D2027A">
                <w:rPr>
                  <w:rStyle w:val="Hyperlink"/>
                  <w:rFonts w:asciiTheme="majorBidi" w:hAnsiTheme="majorBidi" w:cstheme="majorBidi"/>
                  <w:bCs/>
                  <w:szCs w:val="24"/>
                  <w:lang w:val="es-ES"/>
                </w:rPr>
                <w:t>Doc. CMR15/505</w:t>
              </w:r>
            </w:hyperlink>
          </w:p>
          <w:p w14:paraId="691068C3" w14:textId="6B93C31C" w:rsidR="00967792" w:rsidRPr="00D2027A" w:rsidRDefault="00967792" w:rsidP="00B53355">
            <w:pPr>
              <w:pStyle w:val="Tabletext"/>
              <w:rPr>
                <w:rFonts w:asciiTheme="majorBidi" w:hAnsiTheme="majorBidi" w:cstheme="majorBidi"/>
                <w:bCs/>
                <w:szCs w:val="24"/>
                <w:lang w:val="es-ES"/>
              </w:rPr>
            </w:pPr>
            <w:r w:rsidRPr="00D2027A">
              <w:rPr>
                <w:rFonts w:asciiTheme="majorBidi" w:hAnsiTheme="majorBidi" w:cstheme="majorBidi"/>
                <w:bCs/>
                <w:szCs w:val="24"/>
                <w:lang w:val="es-ES"/>
              </w:rPr>
              <w:t xml:space="preserve">Aprobación del </w:t>
            </w:r>
            <w:r w:rsidRPr="00357C6C">
              <w:rPr>
                <w:lang w:val="es-ES"/>
              </w:rPr>
              <w:t>Documento</w:t>
            </w:r>
            <w:r w:rsidRPr="00D2027A">
              <w:rPr>
                <w:rFonts w:asciiTheme="majorBidi" w:hAnsiTheme="majorBidi" w:cstheme="majorBidi"/>
                <w:bCs/>
                <w:szCs w:val="24"/>
                <w:lang w:val="es-ES"/>
              </w:rPr>
              <w:t xml:space="preserve"> CMR15/416</w:t>
            </w:r>
          </w:p>
        </w:tc>
        <w:tc>
          <w:tcPr>
            <w:tcW w:w="2312" w:type="pct"/>
          </w:tcPr>
          <w:p w14:paraId="5389867F" w14:textId="77777777" w:rsidR="00967792" w:rsidRPr="00357C6C" w:rsidRDefault="00967792" w:rsidP="00B53355">
            <w:pPr>
              <w:spacing w:before="40" w:after="40"/>
              <w:rPr>
                <w:sz w:val="22"/>
                <w:lang w:val="es-ES"/>
              </w:rPr>
            </w:pPr>
            <w:r w:rsidRPr="00357C6C">
              <w:rPr>
                <w:sz w:val="22"/>
                <w:lang w:val="es-ES"/>
              </w:rPr>
              <w:t>1.39</w:t>
            </w:r>
            <w:r w:rsidRPr="00357C6C">
              <w:rPr>
                <w:sz w:val="22"/>
                <w:lang w:val="es-ES"/>
              </w:rPr>
              <w:tab/>
            </w:r>
            <w:bookmarkStart w:id="8" w:name="lt_pId147"/>
            <w:r w:rsidRPr="00357C6C">
              <w:rPr>
                <w:sz w:val="22"/>
                <w:lang w:val="es-ES"/>
              </w:rPr>
              <w:t xml:space="preserve">El </w:t>
            </w:r>
            <w:r w:rsidRPr="00357C6C">
              <w:rPr>
                <w:b/>
                <w:sz w:val="22"/>
                <w:lang w:val="es-ES"/>
              </w:rPr>
              <w:t>Presidente de la Comisión 5</w:t>
            </w:r>
            <w:r w:rsidRPr="00357C6C">
              <w:rPr>
                <w:sz w:val="22"/>
                <w:lang w:val="es-ES"/>
              </w:rPr>
              <w:t xml:space="preserve"> presenta el Documento 416, que constituye el sexto informe de la Comisión 5 a la Plenaria y presenta el resultado de los debates de la Comisión sobre el punto 9.2 del orden del día. Se pide a la Plenaria que refrende esta conclusión de la Comisión 5 y que encargue a la Junta del Reglamento de Radiocomunicaciones y a la Oficina de Radiocomunicaciones que adopte las medidas adecuadas.</w:t>
            </w:r>
            <w:bookmarkEnd w:id="8"/>
          </w:p>
          <w:p w14:paraId="5DF9955E" w14:textId="77777777" w:rsidR="00967792" w:rsidRPr="00357C6C" w:rsidRDefault="00967792" w:rsidP="00B53355">
            <w:pPr>
              <w:spacing w:before="40" w:after="40"/>
              <w:rPr>
                <w:sz w:val="22"/>
                <w:lang w:val="es-ES"/>
              </w:rPr>
            </w:pPr>
            <w:r w:rsidRPr="00357C6C">
              <w:rPr>
                <w:sz w:val="22"/>
                <w:lang w:val="es-ES"/>
              </w:rPr>
              <w:t>1.40</w:t>
            </w:r>
            <w:r w:rsidRPr="00357C6C">
              <w:rPr>
                <w:sz w:val="22"/>
                <w:lang w:val="es-ES"/>
              </w:rPr>
              <w:tab/>
            </w:r>
            <w:bookmarkStart w:id="9" w:name="lt_pId150"/>
            <w:r w:rsidRPr="00357C6C">
              <w:rPr>
                <w:sz w:val="22"/>
                <w:lang w:val="es-ES"/>
              </w:rPr>
              <w:t xml:space="preserve">El </w:t>
            </w:r>
            <w:r w:rsidRPr="00357C6C">
              <w:rPr>
                <w:b/>
                <w:sz w:val="22"/>
                <w:lang w:val="es-ES"/>
              </w:rPr>
              <w:t xml:space="preserve">delegado de la República Islámica del Irán </w:t>
            </w:r>
            <w:r w:rsidRPr="00357C6C">
              <w:rPr>
                <w:sz w:val="22"/>
                <w:lang w:val="es-ES"/>
              </w:rPr>
              <w:t xml:space="preserve">solicita al Director de la BR que confirme que en caso de dificultad en la aplicación del Reglamento de Radiocomunicaciones, seguirá actuando </w:t>
            </w:r>
            <w:r w:rsidRPr="00357C6C">
              <w:rPr>
                <w:sz w:val="22"/>
                <w:lang w:val="es-ES"/>
              </w:rPr>
              <w:lastRenderedPageBreak/>
              <w:t xml:space="preserve">de la manera habitual, es decir pidiendo la opinión de las Comisiones de Estudio y aplicando todas las resoluciones pertinentes en vigor. El </w:t>
            </w:r>
            <w:r w:rsidRPr="00357C6C">
              <w:rPr>
                <w:b/>
                <w:sz w:val="22"/>
                <w:lang w:val="es-ES"/>
              </w:rPr>
              <w:t>Presidente de la BR</w:t>
            </w:r>
            <w:r w:rsidRPr="00357C6C">
              <w:rPr>
                <w:sz w:val="22"/>
                <w:lang w:val="es-ES"/>
              </w:rPr>
              <w:t xml:space="preserve"> declara que era en efecto su intención atenerse a la práctica establecida.</w:t>
            </w:r>
          </w:p>
          <w:bookmarkEnd w:id="9"/>
          <w:p w14:paraId="4AE4322E" w14:textId="77777777" w:rsidR="00967792" w:rsidRPr="00357C6C" w:rsidRDefault="00967792" w:rsidP="00B53355">
            <w:pPr>
              <w:spacing w:before="40" w:after="40"/>
              <w:rPr>
                <w:sz w:val="22"/>
                <w:lang w:val="es-ES"/>
              </w:rPr>
            </w:pPr>
            <w:r w:rsidRPr="00357C6C">
              <w:rPr>
                <w:sz w:val="22"/>
                <w:lang w:val="es-ES"/>
              </w:rPr>
              <w:t>1.41</w:t>
            </w:r>
            <w:r w:rsidRPr="00357C6C">
              <w:rPr>
                <w:sz w:val="22"/>
                <w:lang w:val="es-ES"/>
              </w:rPr>
              <w:tab/>
            </w:r>
            <w:bookmarkStart w:id="10" w:name="lt_pId153"/>
            <w:r w:rsidRPr="00357C6C">
              <w:rPr>
                <w:sz w:val="22"/>
                <w:lang w:val="es-ES"/>
              </w:rPr>
              <w:t xml:space="preserve">El </w:t>
            </w:r>
            <w:r w:rsidRPr="00357C6C">
              <w:rPr>
                <w:b/>
                <w:bCs/>
                <w:sz w:val="22"/>
                <w:lang w:val="es-ES"/>
              </w:rPr>
              <w:t>Presidente</w:t>
            </w:r>
            <w:r w:rsidRPr="00357C6C">
              <w:rPr>
                <w:sz w:val="22"/>
                <w:lang w:val="es-ES"/>
              </w:rPr>
              <w:t xml:space="preserve"> propone aprobar el Documento 416 en su conjunto teniendo en cuenta las observaciones del delegado de la República Islámica del Irán y del Director de la BR. </w:t>
            </w:r>
            <w:bookmarkEnd w:id="10"/>
          </w:p>
          <w:p w14:paraId="358FFCC6" w14:textId="2BAABDFB" w:rsidR="00967792" w:rsidRPr="00357C6C" w:rsidRDefault="00967792" w:rsidP="00B53355">
            <w:pPr>
              <w:spacing w:before="40" w:after="40"/>
              <w:rPr>
                <w:sz w:val="22"/>
                <w:lang w:val="es-ES"/>
              </w:rPr>
            </w:pPr>
            <w:r w:rsidRPr="00357C6C">
              <w:rPr>
                <w:sz w:val="22"/>
                <w:lang w:val="es-ES"/>
              </w:rPr>
              <w:t>1.42</w:t>
            </w:r>
            <w:r w:rsidRPr="00357C6C">
              <w:rPr>
                <w:sz w:val="22"/>
                <w:lang w:val="es-ES"/>
              </w:rPr>
              <w:tab/>
            </w:r>
            <w:bookmarkStart w:id="11" w:name="lt_pId155"/>
            <w:r w:rsidRPr="00357C6C">
              <w:rPr>
                <w:sz w:val="22"/>
                <w:lang w:val="es-ES"/>
              </w:rPr>
              <w:t xml:space="preserve">Así se </w:t>
            </w:r>
            <w:r w:rsidRPr="00357C6C">
              <w:rPr>
                <w:b/>
                <w:sz w:val="22"/>
                <w:lang w:val="es-ES"/>
              </w:rPr>
              <w:t>acuerda</w:t>
            </w:r>
            <w:r w:rsidRPr="00357C6C">
              <w:rPr>
                <w:sz w:val="22"/>
                <w:lang w:val="es-ES"/>
              </w:rPr>
              <w:t>.</w:t>
            </w:r>
            <w:bookmarkEnd w:id="11"/>
          </w:p>
        </w:tc>
        <w:tc>
          <w:tcPr>
            <w:tcW w:w="1548" w:type="pct"/>
          </w:tcPr>
          <w:p w14:paraId="2A98A1DD" w14:textId="77777777" w:rsidR="00967792" w:rsidRPr="00D2027A" w:rsidRDefault="00967792" w:rsidP="00B53355">
            <w:pPr>
              <w:pStyle w:val="Tabletext"/>
              <w:rPr>
                <w:rFonts w:asciiTheme="majorBidi" w:hAnsiTheme="majorBidi" w:cstheme="majorBidi"/>
                <w:bCs/>
                <w:lang w:val="es-ES"/>
              </w:rPr>
            </w:pPr>
            <w:r w:rsidRPr="00D2027A">
              <w:rPr>
                <w:rFonts w:asciiTheme="majorBidi" w:hAnsiTheme="majorBidi" w:cstheme="majorBidi"/>
                <w:bCs/>
                <w:lang w:val="es-ES"/>
              </w:rPr>
              <w:lastRenderedPageBreak/>
              <w:t xml:space="preserve">Durante el debate sobre el Informe del Director y sus diversos addenda se reconoció asimismo que varias de las cuestiones planteadas podrían beneficiarse de estudios en Comisiones de Estudio del UIT-R. Por lo tanto, </w:t>
            </w:r>
            <w:r w:rsidRPr="00D2027A">
              <w:rPr>
                <w:rFonts w:asciiTheme="majorBidi" w:hAnsiTheme="majorBidi" w:cstheme="majorBidi"/>
                <w:b/>
                <w:bCs/>
                <w:lang w:val="es-ES"/>
              </w:rPr>
              <w:t>se alienta a la Oficina de Radiocomunicaciones</w:t>
            </w:r>
            <w:r w:rsidRPr="00D2027A">
              <w:rPr>
                <w:rFonts w:asciiTheme="majorBidi" w:hAnsiTheme="majorBidi" w:cstheme="majorBidi"/>
                <w:bCs/>
                <w:lang w:val="es-ES"/>
              </w:rPr>
              <w:t xml:space="preserve"> a transmitir al UIT-R esas cuestiones tan pronto se identifiquen, según proceda, para que las estudie. También podría ser interesante que un proyecto del </w:t>
            </w:r>
            <w:r w:rsidRPr="00D2027A">
              <w:rPr>
                <w:rFonts w:asciiTheme="majorBidi" w:hAnsiTheme="majorBidi" w:cstheme="majorBidi"/>
                <w:bCs/>
                <w:lang w:val="es-ES"/>
              </w:rPr>
              <w:lastRenderedPageBreak/>
              <w:t>Informe del Director, o al menos un proyecto de la Parte 2 de dicho Informe, estuviera disponible con antelación suficiente para la RPC19-2. Por último, se solicita al Director que considere organizar el informe con arreglo a la estructura de la CMR-19.</w:t>
            </w:r>
          </w:p>
          <w:p w14:paraId="3C866DA2" w14:textId="77777777" w:rsidR="00967792" w:rsidRPr="00D2027A" w:rsidRDefault="00967792" w:rsidP="00B53355">
            <w:pPr>
              <w:pStyle w:val="Tabletext"/>
              <w:rPr>
                <w:rFonts w:asciiTheme="majorBidi" w:hAnsiTheme="majorBidi" w:cstheme="majorBidi"/>
                <w:bCs/>
                <w:lang w:val="es-ES"/>
              </w:rPr>
            </w:pPr>
            <w:r w:rsidRPr="00D2027A">
              <w:rPr>
                <w:rFonts w:asciiTheme="majorBidi" w:hAnsiTheme="majorBidi" w:cstheme="majorBidi"/>
                <w:bCs/>
                <w:lang w:val="es-ES"/>
              </w:rPr>
              <w:t>El Anexo contiene detalles de los resultados de las deliberaciones sobre el Informe del Director en la Comisión 5.</w:t>
            </w:r>
          </w:p>
          <w:p w14:paraId="0C28AB3C" w14:textId="77777777" w:rsidR="00967792" w:rsidRPr="00357C6C" w:rsidRDefault="00967792" w:rsidP="009B6AB9">
            <w:pPr>
              <w:pStyle w:val="Tabletext"/>
              <w:jc w:val="center"/>
              <w:rPr>
                <w:rFonts w:asciiTheme="majorBidi" w:hAnsiTheme="majorBidi" w:cstheme="majorBidi"/>
                <w:bCs/>
                <w:lang w:val="es-ES"/>
              </w:rPr>
            </w:pPr>
            <w:r w:rsidRPr="00853F34">
              <w:rPr>
                <w:lang w:val="es-ES"/>
              </w:rPr>
              <w:t>ANEXO</w:t>
            </w:r>
          </w:p>
          <w:p w14:paraId="0F3DC5F0" w14:textId="77777777" w:rsidR="00967792" w:rsidRPr="00357C6C" w:rsidRDefault="00967792" w:rsidP="009B6AB9">
            <w:pPr>
              <w:pStyle w:val="Tabletext"/>
              <w:jc w:val="center"/>
              <w:rPr>
                <w:rFonts w:asciiTheme="majorBidi" w:hAnsiTheme="majorBidi" w:cstheme="majorBidi"/>
                <w:bCs/>
                <w:lang w:val="es-ES"/>
              </w:rPr>
            </w:pPr>
            <w:r w:rsidRPr="00357C6C">
              <w:rPr>
                <w:lang w:val="es-ES"/>
              </w:rPr>
              <w:t>PARTE</w:t>
            </w:r>
            <w:r w:rsidRPr="00357C6C">
              <w:rPr>
                <w:rFonts w:asciiTheme="majorBidi" w:hAnsiTheme="majorBidi" w:cstheme="majorBidi"/>
                <w:bCs/>
                <w:lang w:val="es-ES"/>
              </w:rPr>
              <w:t xml:space="preserve"> 2</w:t>
            </w:r>
          </w:p>
          <w:p w14:paraId="4FDF30F3" w14:textId="77777777" w:rsidR="00967792" w:rsidRPr="00B53355" w:rsidRDefault="00967792" w:rsidP="00B53355">
            <w:pPr>
              <w:pStyle w:val="Tabletext"/>
              <w:rPr>
                <w:rFonts w:asciiTheme="majorBidi" w:hAnsiTheme="majorBidi" w:cstheme="majorBidi"/>
                <w:b/>
                <w:bCs/>
                <w:lang w:val="es-ES"/>
              </w:rPr>
            </w:pPr>
            <w:r w:rsidRPr="00B53355">
              <w:rPr>
                <w:b/>
                <w:bCs/>
                <w:lang w:val="es-ES"/>
              </w:rPr>
              <w:t>Experiencias</w:t>
            </w:r>
            <w:r w:rsidRPr="00B53355">
              <w:rPr>
                <w:rFonts w:asciiTheme="majorBidi" w:hAnsiTheme="majorBidi" w:cstheme="majorBidi"/>
                <w:b/>
                <w:bCs/>
                <w:lang w:val="es-ES"/>
              </w:rPr>
              <w:t xml:space="preserve"> en la aplicación de los procedimientos del Reglamento de </w:t>
            </w:r>
            <w:r w:rsidRPr="00B53355">
              <w:rPr>
                <w:rFonts w:asciiTheme="majorBidi" w:hAnsiTheme="majorBidi" w:cstheme="majorBidi"/>
                <w:b/>
                <w:bCs/>
                <w:lang w:val="es-ES"/>
              </w:rPr>
              <w:br/>
              <w:t>Radiocomunicaciones y otros asuntos conexos</w:t>
            </w:r>
          </w:p>
          <w:p w14:paraId="4065ACEC" w14:textId="77777777" w:rsidR="00967792" w:rsidRPr="00357C6C" w:rsidRDefault="00967792" w:rsidP="00B53355">
            <w:pPr>
              <w:pStyle w:val="Default"/>
              <w:spacing w:before="40" w:after="40"/>
              <w:rPr>
                <w:rFonts w:asciiTheme="majorBidi" w:hAnsiTheme="majorBidi" w:cstheme="majorBidi"/>
                <w:b/>
                <w:bCs/>
                <w:sz w:val="22"/>
                <w:szCs w:val="22"/>
                <w:lang w:val="es-ES"/>
              </w:rPr>
            </w:pPr>
            <w:r w:rsidRPr="00357C6C">
              <w:rPr>
                <w:rFonts w:asciiTheme="majorBidi" w:hAnsiTheme="majorBidi" w:cstheme="majorBidi"/>
                <w:b/>
                <w:bCs/>
                <w:sz w:val="22"/>
                <w:szCs w:val="22"/>
                <w:lang w:val="es-ES"/>
              </w:rPr>
              <w:t>2</w:t>
            </w:r>
            <w:r w:rsidRPr="00357C6C">
              <w:rPr>
                <w:rFonts w:asciiTheme="majorBidi" w:hAnsiTheme="majorBidi" w:cstheme="majorBidi"/>
                <w:b/>
                <w:bCs/>
                <w:sz w:val="22"/>
                <w:szCs w:val="22"/>
                <w:lang w:val="es-ES"/>
              </w:rPr>
              <w:tab/>
              <w:t>Preparación del Reglamento de Radiocomunicaciones (edición de 2012)</w:t>
            </w:r>
          </w:p>
          <w:p w14:paraId="17A7C0FD" w14:textId="77777777" w:rsidR="00967792" w:rsidRPr="00357C6C" w:rsidRDefault="00967792" w:rsidP="00B53355">
            <w:pPr>
              <w:pStyle w:val="Default"/>
              <w:spacing w:before="40" w:after="40"/>
              <w:rPr>
                <w:rFonts w:asciiTheme="majorBidi" w:hAnsiTheme="majorBidi" w:cstheme="majorBidi"/>
                <w:b/>
                <w:bCs/>
                <w:sz w:val="22"/>
                <w:szCs w:val="22"/>
                <w:lang w:val="es-ES"/>
              </w:rPr>
            </w:pPr>
            <w:r w:rsidRPr="00357C6C">
              <w:rPr>
                <w:rFonts w:asciiTheme="majorBidi" w:hAnsiTheme="majorBidi" w:cstheme="majorBidi"/>
                <w:b/>
                <w:bCs/>
                <w:sz w:val="22"/>
                <w:szCs w:val="22"/>
                <w:lang w:val="es-ES"/>
              </w:rPr>
              <w:t>2.1</w:t>
            </w:r>
            <w:r w:rsidRPr="00357C6C">
              <w:rPr>
                <w:rFonts w:asciiTheme="majorBidi" w:hAnsiTheme="majorBidi" w:cstheme="majorBidi"/>
                <w:b/>
                <w:bCs/>
                <w:sz w:val="22"/>
                <w:szCs w:val="22"/>
                <w:lang w:val="es-ES"/>
              </w:rPr>
              <w:tab/>
              <w:t>Observaciones generales</w:t>
            </w:r>
          </w:p>
          <w:p w14:paraId="19A368ED" w14:textId="77777777" w:rsidR="00967792" w:rsidRPr="00357C6C" w:rsidRDefault="00967792" w:rsidP="00B53355">
            <w:pPr>
              <w:pStyle w:val="Default"/>
              <w:spacing w:before="40" w:after="40"/>
              <w:rPr>
                <w:rFonts w:asciiTheme="majorBidi" w:hAnsiTheme="majorBidi" w:cstheme="majorBidi"/>
                <w:b/>
                <w:bCs/>
                <w:sz w:val="22"/>
                <w:szCs w:val="22"/>
                <w:lang w:val="es-ES"/>
              </w:rPr>
            </w:pPr>
            <w:r w:rsidRPr="00357C6C">
              <w:rPr>
                <w:rFonts w:asciiTheme="majorBidi" w:hAnsiTheme="majorBidi" w:cstheme="majorBidi"/>
                <w:b/>
                <w:bCs/>
                <w:sz w:val="22"/>
                <w:szCs w:val="22"/>
                <w:lang w:val="es-ES"/>
              </w:rPr>
              <w:t>2.2.2</w:t>
            </w:r>
            <w:r w:rsidRPr="00357C6C">
              <w:rPr>
                <w:rFonts w:asciiTheme="majorBidi" w:hAnsiTheme="majorBidi" w:cstheme="majorBidi"/>
                <w:b/>
                <w:bCs/>
                <w:sz w:val="22"/>
                <w:szCs w:val="22"/>
                <w:lang w:val="es-ES"/>
              </w:rPr>
              <w:tab/>
              <w:t>Incoherencias, disposiciones poco claras</w:t>
            </w:r>
          </w:p>
          <w:p w14:paraId="2CFD1CB9" w14:textId="77777777" w:rsidR="00967792" w:rsidRPr="00357C6C" w:rsidRDefault="00967792" w:rsidP="009B6AB9">
            <w:pPr>
              <w:pStyle w:val="Tabletext"/>
              <w:jc w:val="center"/>
              <w:rPr>
                <w:rFonts w:asciiTheme="majorBidi" w:hAnsiTheme="majorBidi" w:cstheme="majorBidi"/>
                <w:bCs/>
                <w:lang w:val="es-ES"/>
              </w:rPr>
            </w:pPr>
            <w:r w:rsidRPr="00B53355">
              <w:rPr>
                <w:lang w:val="es-ES"/>
              </w:rPr>
              <w:t>CUADRO</w:t>
            </w:r>
            <w:r w:rsidRPr="00357C6C">
              <w:rPr>
                <w:rFonts w:asciiTheme="majorBidi" w:hAnsiTheme="majorBidi" w:cstheme="majorBidi"/>
                <w:bCs/>
                <w:lang w:val="es-ES"/>
              </w:rPr>
              <w:t xml:space="preserve"> 2</w:t>
            </w:r>
          </w:p>
          <w:p w14:paraId="0543A9C5" w14:textId="77777777" w:rsidR="00967792" w:rsidRPr="00357C6C" w:rsidRDefault="00967792" w:rsidP="009B6AB9">
            <w:pPr>
              <w:pStyle w:val="Default"/>
              <w:spacing w:before="40" w:after="40"/>
              <w:jc w:val="center"/>
              <w:rPr>
                <w:rFonts w:asciiTheme="majorBidi" w:hAnsiTheme="majorBidi" w:cstheme="majorBidi"/>
                <w:b/>
                <w:bCs/>
                <w:sz w:val="22"/>
                <w:szCs w:val="22"/>
                <w:lang w:val="es-ES"/>
              </w:rPr>
            </w:pPr>
            <w:r w:rsidRPr="00357C6C">
              <w:rPr>
                <w:rFonts w:asciiTheme="majorBidi" w:hAnsiTheme="majorBidi" w:cstheme="majorBidi"/>
                <w:b/>
                <w:bCs/>
                <w:sz w:val="22"/>
                <w:szCs w:val="22"/>
                <w:lang w:val="es-ES"/>
              </w:rPr>
              <w:t>Incoherencias en el RR, disposiciones poco claras</w:t>
            </w:r>
          </w:p>
          <w:p w14:paraId="0FD4A5C3" w14:textId="77777777" w:rsidR="00967792" w:rsidRPr="00357C6C" w:rsidRDefault="00967792" w:rsidP="00B53355">
            <w:pPr>
              <w:pStyle w:val="Default"/>
              <w:spacing w:before="40" w:after="40"/>
              <w:rPr>
                <w:rFonts w:asciiTheme="majorBidi" w:hAnsiTheme="majorBidi" w:cstheme="majorBidi"/>
                <w:bCs/>
                <w:sz w:val="22"/>
                <w:szCs w:val="22"/>
                <w:lang w:val="es-ES"/>
              </w:rPr>
            </w:pPr>
            <w:r w:rsidRPr="00357C6C">
              <w:rPr>
                <w:noProof/>
                <w:sz w:val="22"/>
                <w:szCs w:val="22"/>
                <w:lang w:val="es-ES"/>
              </w:rPr>
              <w:drawing>
                <wp:inline distT="0" distB="0" distL="0" distR="0" wp14:anchorId="652F50BE" wp14:editId="70CD591C">
                  <wp:extent cx="2514297" cy="67586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5"/>
                          <a:stretch>
                            <a:fillRect/>
                          </a:stretch>
                        </pic:blipFill>
                        <pic:spPr>
                          <a:xfrm>
                            <a:off x="0" y="0"/>
                            <a:ext cx="2593465" cy="697142"/>
                          </a:xfrm>
                          <a:prstGeom prst="rect">
                            <a:avLst/>
                          </a:prstGeom>
                        </pic:spPr>
                      </pic:pic>
                    </a:graphicData>
                  </a:graphic>
                </wp:inline>
              </w:drawing>
            </w:r>
          </w:p>
          <w:p w14:paraId="6BE7F058" w14:textId="4F6AFA7C" w:rsidR="00967792" w:rsidRPr="00357C6C" w:rsidRDefault="00967792" w:rsidP="00B53355">
            <w:pPr>
              <w:pStyle w:val="Tabletext"/>
              <w:rPr>
                <w:rFonts w:asciiTheme="majorBidi" w:hAnsiTheme="majorBidi" w:cstheme="majorBidi"/>
                <w:bCs/>
                <w:lang w:val="es-ES"/>
              </w:rPr>
            </w:pPr>
            <w:r w:rsidRPr="00357C6C">
              <w:rPr>
                <w:rFonts w:asciiTheme="majorBidi" w:hAnsiTheme="majorBidi" w:cstheme="majorBidi"/>
                <w:bCs/>
                <w:i/>
                <w:iCs/>
                <w:lang w:val="es-ES"/>
              </w:rPr>
              <w:t>La Junta decide incluir la decisión siguiente como nota en la Regla de Procedimiento correspondiente al núm</w:t>
            </w:r>
            <w:r w:rsidR="00B53355">
              <w:rPr>
                <w:rFonts w:asciiTheme="majorBidi" w:hAnsiTheme="majorBidi" w:cstheme="majorBidi"/>
                <w:bCs/>
                <w:i/>
                <w:iCs/>
                <w:lang w:val="es-ES"/>
              </w:rPr>
              <w:t>ero</w:t>
            </w:r>
            <w:r w:rsidRPr="00357C6C">
              <w:rPr>
                <w:rFonts w:asciiTheme="majorBidi" w:hAnsiTheme="majorBidi" w:cstheme="majorBidi"/>
                <w:bCs/>
                <w:i/>
                <w:iCs/>
                <w:lang w:val="es-ES"/>
              </w:rPr>
              <w:t xml:space="preserve"> </w:t>
            </w:r>
            <w:r w:rsidRPr="00357C6C">
              <w:rPr>
                <w:rFonts w:asciiTheme="majorBidi" w:hAnsiTheme="majorBidi" w:cstheme="majorBidi"/>
                <w:b/>
                <w:i/>
                <w:iCs/>
                <w:lang w:val="es-ES"/>
              </w:rPr>
              <w:t>11.48</w:t>
            </w:r>
            <w:r w:rsidRPr="00357C6C">
              <w:rPr>
                <w:rFonts w:asciiTheme="majorBidi" w:hAnsiTheme="majorBidi" w:cstheme="majorBidi"/>
                <w:bCs/>
                <w:i/>
                <w:iCs/>
                <w:lang w:val="es-ES"/>
              </w:rPr>
              <w:t xml:space="preserve"> del RR en su 73</w:t>
            </w:r>
            <w:r w:rsidR="00B53355">
              <w:rPr>
                <w:rFonts w:asciiTheme="majorBidi" w:hAnsiTheme="majorBidi" w:cstheme="majorBidi"/>
                <w:bCs/>
                <w:i/>
                <w:iCs/>
                <w:lang w:val="es-ES"/>
              </w:rPr>
              <w:t>ª</w:t>
            </w:r>
            <w:r w:rsidRPr="00357C6C">
              <w:rPr>
                <w:rFonts w:asciiTheme="majorBidi" w:hAnsiTheme="majorBidi" w:cstheme="majorBidi"/>
                <w:bCs/>
                <w:i/>
                <w:iCs/>
                <w:lang w:val="es-ES"/>
              </w:rPr>
              <w:t xml:space="preserve"> reunión (</w:t>
            </w:r>
            <w:hyperlink r:id="rId186" w:history="1">
              <w:r w:rsidRPr="00357C6C">
                <w:rPr>
                  <w:rStyle w:val="Hyperlink"/>
                  <w:rFonts w:asciiTheme="majorBidi" w:hAnsiTheme="majorBidi" w:cstheme="majorBidi"/>
                  <w:bCs/>
                  <w:i/>
                  <w:iCs/>
                  <w:lang w:val="es-ES"/>
                </w:rPr>
                <w:t>CR/412</w:t>
              </w:r>
            </w:hyperlink>
            <w:r w:rsidRPr="00357C6C">
              <w:rPr>
                <w:rFonts w:asciiTheme="majorBidi" w:hAnsiTheme="majorBidi" w:cstheme="majorBidi"/>
                <w:bCs/>
                <w:i/>
                <w:iCs/>
                <w:lang w:val="es-ES"/>
              </w:rPr>
              <w:t>).</w:t>
            </w:r>
          </w:p>
          <w:p w14:paraId="3BFC5D40" w14:textId="77777777" w:rsidR="00967792" w:rsidRPr="00357C6C" w:rsidRDefault="00967792" w:rsidP="00B53355">
            <w:pPr>
              <w:pStyle w:val="Tabletext"/>
              <w:rPr>
                <w:rFonts w:asciiTheme="majorBidi" w:hAnsiTheme="majorBidi" w:cstheme="majorBidi"/>
                <w:bCs/>
                <w:lang w:val="es-ES"/>
              </w:rPr>
            </w:pPr>
            <w:r w:rsidRPr="00357C6C">
              <w:rPr>
                <w:rFonts w:asciiTheme="majorBidi" w:hAnsiTheme="majorBidi" w:cstheme="majorBidi"/>
                <w:bCs/>
                <w:lang w:val="es-ES"/>
              </w:rPr>
              <w:t xml:space="preserve">La CMR-15 tomó nota de la incoherencia entre el número </w:t>
            </w:r>
            <w:r w:rsidRPr="009B6AB9">
              <w:rPr>
                <w:rFonts w:asciiTheme="majorBidi" w:hAnsiTheme="majorBidi" w:cstheme="majorBidi"/>
                <w:b/>
                <w:lang w:val="es-ES"/>
              </w:rPr>
              <w:t>11.48</w:t>
            </w:r>
            <w:r w:rsidRPr="00357C6C">
              <w:rPr>
                <w:rFonts w:asciiTheme="majorBidi" w:hAnsiTheme="majorBidi" w:cstheme="majorBidi"/>
                <w:bCs/>
                <w:lang w:val="es-ES"/>
              </w:rPr>
              <w:t xml:space="preserve"> del RR y el § 8 del </w:t>
            </w:r>
            <w:r w:rsidRPr="00357C6C">
              <w:rPr>
                <w:rFonts w:asciiTheme="majorBidi" w:hAnsiTheme="majorBidi" w:cstheme="majorBidi"/>
                <w:bCs/>
                <w:lang w:val="es-ES"/>
              </w:rPr>
              <w:lastRenderedPageBreak/>
              <w:t>Anexo 1 a la Resolución 552 (CMR</w:t>
            </w:r>
            <w:r w:rsidRPr="00357C6C">
              <w:rPr>
                <w:rFonts w:asciiTheme="majorBidi" w:hAnsiTheme="majorBidi" w:cstheme="majorBidi"/>
                <w:bCs/>
                <w:lang w:val="es-ES"/>
              </w:rPr>
              <w:noBreakHyphen/>
              <w:t xml:space="preserve">12) </w:t>
            </w:r>
            <w:r w:rsidRPr="00357C6C">
              <w:rPr>
                <w:rFonts w:asciiTheme="majorBidi" w:hAnsiTheme="majorBidi" w:cstheme="majorBidi"/>
                <w:b/>
                <w:bCs/>
                <w:lang w:val="es-ES"/>
              </w:rPr>
              <w:t>y confirmó</w:t>
            </w:r>
            <w:r w:rsidRPr="00357C6C">
              <w:rPr>
                <w:rFonts w:asciiTheme="majorBidi" w:hAnsiTheme="majorBidi" w:cstheme="majorBidi"/>
                <w:bCs/>
                <w:lang w:val="es-ES"/>
              </w:rPr>
              <w:t xml:space="preserve"> que su interpretación era que la Oficina procederá a anular las asignaciones de frecuencia de las redes </w:t>
            </w:r>
            <w:r w:rsidRPr="00B53355">
              <w:rPr>
                <w:lang w:val="es-ES"/>
              </w:rPr>
              <w:t>de</w:t>
            </w:r>
            <w:r w:rsidRPr="00357C6C">
              <w:rPr>
                <w:rFonts w:asciiTheme="majorBidi" w:hAnsiTheme="majorBidi" w:cstheme="majorBidi"/>
                <w:bCs/>
                <w:lang w:val="es-ES"/>
              </w:rPr>
              <w:t xml:space="preserve"> satélites que funcionan en la banda 21,4-22 GHz si transcurridos 30 días desde el final de periodo de siete años contados a partir de la fecha de recepción por la Oficina de la información completa pertinente en virtud de los números </w:t>
            </w:r>
            <w:r w:rsidRPr="00B53355">
              <w:rPr>
                <w:rFonts w:asciiTheme="majorBidi" w:hAnsiTheme="majorBidi" w:cstheme="majorBidi"/>
                <w:b/>
                <w:lang w:val="es-ES"/>
              </w:rPr>
              <w:t>9.1</w:t>
            </w:r>
            <w:r w:rsidRPr="00357C6C">
              <w:rPr>
                <w:rFonts w:asciiTheme="majorBidi" w:hAnsiTheme="majorBidi" w:cstheme="majorBidi"/>
                <w:bCs/>
                <w:lang w:val="es-ES"/>
              </w:rPr>
              <w:t xml:space="preserve"> ó </w:t>
            </w:r>
            <w:r w:rsidRPr="00B53355">
              <w:rPr>
                <w:rFonts w:asciiTheme="majorBidi" w:hAnsiTheme="majorBidi" w:cstheme="majorBidi"/>
                <w:b/>
                <w:lang w:val="es-ES"/>
              </w:rPr>
              <w:t>9.2</w:t>
            </w:r>
            <w:r w:rsidRPr="00357C6C">
              <w:rPr>
                <w:rFonts w:asciiTheme="majorBidi" w:hAnsiTheme="majorBidi" w:cstheme="majorBidi"/>
                <w:bCs/>
                <w:lang w:val="es-ES"/>
              </w:rPr>
              <w:t xml:space="preserve"> del RR, según el caso, y una vez finalizado el periodo de tres años contados desde la fecha de suspensión de conformidad con el número </w:t>
            </w:r>
            <w:r w:rsidRPr="00B53355">
              <w:rPr>
                <w:rFonts w:asciiTheme="majorBidi" w:hAnsiTheme="majorBidi" w:cstheme="majorBidi"/>
                <w:b/>
                <w:lang w:val="es-ES"/>
              </w:rPr>
              <w:t>11.49</w:t>
            </w:r>
            <w:r w:rsidRPr="00357C6C">
              <w:rPr>
                <w:rFonts w:asciiTheme="majorBidi" w:hAnsiTheme="majorBidi" w:cstheme="majorBidi"/>
                <w:bCs/>
                <w:lang w:val="es-ES"/>
              </w:rPr>
              <w:t xml:space="preserve"> del RR. </w:t>
            </w:r>
          </w:p>
          <w:p w14:paraId="5B922EB3" w14:textId="77777777" w:rsidR="00967792" w:rsidRPr="00357C6C" w:rsidRDefault="00967792" w:rsidP="00B53355">
            <w:pPr>
              <w:pStyle w:val="Default"/>
              <w:spacing w:before="40" w:after="40"/>
              <w:rPr>
                <w:rFonts w:asciiTheme="majorBidi" w:hAnsiTheme="majorBidi" w:cstheme="majorBidi"/>
                <w:b/>
                <w:bCs/>
                <w:sz w:val="22"/>
                <w:szCs w:val="22"/>
                <w:lang w:val="es-ES"/>
              </w:rPr>
            </w:pPr>
            <w:r w:rsidRPr="00357C6C">
              <w:rPr>
                <w:rFonts w:asciiTheme="majorBidi" w:hAnsiTheme="majorBidi" w:cstheme="majorBidi"/>
                <w:b/>
                <w:bCs/>
                <w:sz w:val="22"/>
                <w:szCs w:val="22"/>
                <w:lang w:val="es-ES"/>
              </w:rPr>
              <w:t>3.2</w:t>
            </w:r>
            <w:r w:rsidRPr="00357C6C">
              <w:rPr>
                <w:rFonts w:asciiTheme="majorBidi" w:hAnsiTheme="majorBidi" w:cstheme="majorBidi"/>
                <w:b/>
                <w:bCs/>
                <w:sz w:val="22"/>
                <w:szCs w:val="22"/>
                <w:lang w:val="es-ES"/>
              </w:rPr>
              <w:tab/>
              <w:t>Observaciones relativas a la coordinación, la notificación y la inscripción de las asignaciones de frecuencias a los servicios aeronáuticos, los Apéndices y las Resoluciones</w:t>
            </w:r>
          </w:p>
          <w:p w14:paraId="121669B0" w14:textId="77777777" w:rsidR="00967792" w:rsidRPr="00357C6C" w:rsidRDefault="00967792" w:rsidP="00B53355">
            <w:pPr>
              <w:pStyle w:val="Default"/>
              <w:spacing w:before="40" w:after="40"/>
              <w:rPr>
                <w:rFonts w:asciiTheme="majorBidi" w:hAnsiTheme="majorBidi" w:cstheme="majorBidi"/>
                <w:b/>
                <w:bCs/>
                <w:sz w:val="22"/>
                <w:szCs w:val="22"/>
                <w:lang w:val="es-ES"/>
              </w:rPr>
            </w:pPr>
            <w:r w:rsidRPr="00357C6C">
              <w:rPr>
                <w:rFonts w:asciiTheme="majorBidi" w:hAnsiTheme="majorBidi" w:cstheme="majorBidi"/>
                <w:b/>
                <w:bCs/>
                <w:sz w:val="22"/>
                <w:szCs w:val="22"/>
                <w:lang w:val="es-ES"/>
              </w:rPr>
              <w:t>3.2.2</w:t>
            </w:r>
            <w:r w:rsidRPr="00357C6C">
              <w:rPr>
                <w:rFonts w:asciiTheme="majorBidi" w:hAnsiTheme="majorBidi" w:cstheme="majorBidi"/>
                <w:b/>
                <w:bCs/>
                <w:sz w:val="22"/>
                <w:szCs w:val="22"/>
                <w:lang w:val="es-ES"/>
              </w:rPr>
              <w:tab/>
              <w:t>Artículo 9 del Reglamento de Radiocomunicaciones</w:t>
            </w:r>
          </w:p>
          <w:p w14:paraId="00E1448E" w14:textId="0BDD1040" w:rsidR="00967792" w:rsidRPr="00357C6C" w:rsidRDefault="00967792" w:rsidP="00B53355">
            <w:pPr>
              <w:pStyle w:val="Default"/>
              <w:spacing w:before="40" w:after="40"/>
              <w:rPr>
                <w:rFonts w:asciiTheme="majorBidi" w:hAnsiTheme="majorBidi" w:cstheme="majorBidi"/>
                <w:bCs/>
                <w:i/>
                <w:iCs/>
                <w:sz w:val="22"/>
                <w:szCs w:val="22"/>
                <w:lang w:val="es-ES"/>
              </w:rPr>
            </w:pPr>
            <w:r w:rsidRPr="00357C6C">
              <w:rPr>
                <w:rFonts w:asciiTheme="majorBidi" w:hAnsiTheme="majorBidi" w:cstheme="majorBidi"/>
                <w:bCs/>
                <w:i/>
                <w:iCs/>
                <w:sz w:val="22"/>
                <w:szCs w:val="22"/>
                <w:lang w:val="es-ES"/>
              </w:rPr>
              <w:t>La Junta decide incluir la siguiente decisión como nota en la Regla de Procedimiento sobre las reglas relativas a la admisibilidad de los formularios de notificación aplicables de forma general a todas las asignaciones notificadas presentadas a la Oficina de Radiocomunicaciones en el marco de los procedimientos de Reglamentación de Radiocomunicaciones, en su 73ª reunión (</w:t>
            </w:r>
            <w:hyperlink r:id="rId187" w:history="1">
              <w:r w:rsidRPr="00357C6C">
                <w:rPr>
                  <w:rStyle w:val="Hyperlink"/>
                  <w:rFonts w:asciiTheme="majorBidi" w:hAnsiTheme="majorBidi" w:cstheme="majorBidi"/>
                  <w:bCs/>
                  <w:i/>
                  <w:iCs/>
                  <w:sz w:val="22"/>
                  <w:szCs w:val="22"/>
                  <w:lang w:val="es-ES"/>
                </w:rPr>
                <w:t>CR/412</w:t>
              </w:r>
            </w:hyperlink>
            <w:r w:rsidRPr="00357C6C">
              <w:rPr>
                <w:rFonts w:asciiTheme="majorBidi" w:hAnsiTheme="majorBidi" w:cstheme="majorBidi"/>
                <w:bCs/>
                <w:i/>
                <w:iCs/>
                <w:sz w:val="22"/>
                <w:szCs w:val="22"/>
                <w:lang w:val="es-ES"/>
              </w:rPr>
              <w:t>).</w:t>
            </w:r>
          </w:p>
          <w:p w14:paraId="5D0FB73A" w14:textId="77777777" w:rsidR="00967792" w:rsidRPr="00357C6C" w:rsidRDefault="00967792" w:rsidP="009B6AB9">
            <w:pPr>
              <w:pStyle w:val="Default"/>
              <w:tabs>
                <w:tab w:val="left" w:pos="1003"/>
              </w:tabs>
              <w:spacing w:before="40" w:after="40"/>
              <w:rPr>
                <w:rFonts w:asciiTheme="majorBidi" w:hAnsiTheme="majorBidi" w:cstheme="majorBidi"/>
                <w:b/>
                <w:bCs/>
                <w:sz w:val="22"/>
                <w:szCs w:val="22"/>
                <w:lang w:val="es-ES"/>
              </w:rPr>
            </w:pPr>
            <w:r w:rsidRPr="00357C6C">
              <w:rPr>
                <w:rFonts w:asciiTheme="majorBidi" w:hAnsiTheme="majorBidi" w:cstheme="majorBidi"/>
                <w:b/>
                <w:bCs/>
                <w:sz w:val="22"/>
                <w:szCs w:val="22"/>
                <w:lang w:val="es-ES"/>
              </w:rPr>
              <w:t>3.2.2.4.1</w:t>
            </w:r>
            <w:r w:rsidRPr="00357C6C">
              <w:rPr>
                <w:rFonts w:asciiTheme="majorBidi" w:hAnsiTheme="majorBidi" w:cstheme="majorBidi"/>
                <w:b/>
                <w:bCs/>
                <w:sz w:val="22"/>
                <w:szCs w:val="22"/>
                <w:lang w:val="es-ES"/>
              </w:rPr>
              <w:tab/>
              <w:t>Comunicación de solicitudes de coordinación relativas a sistemas de satélites no OSG</w:t>
            </w:r>
          </w:p>
          <w:p w14:paraId="3EF51C64" w14:textId="77777777" w:rsidR="00967792" w:rsidRPr="00357C6C" w:rsidRDefault="00967792" w:rsidP="00B53355">
            <w:pPr>
              <w:pStyle w:val="Default"/>
              <w:spacing w:before="40" w:after="40"/>
              <w:rPr>
                <w:rFonts w:asciiTheme="majorBidi" w:hAnsiTheme="majorBidi" w:cstheme="majorBidi"/>
                <w:bCs/>
                <w:sz w:val="22"/>
                <w:szCs w:val="22"/>
                <w:lang w:val="es-ES"/>
              </w:rPr>
            </w:pPr>
            <w:r w:rsidRPr="00357C6C">
              <w:rPr>
                <w:rFonts w:asciiTheme="majorBidi" w:hAnsiTheme="majorBidi" w:cstheme="majorBidi"/>
                <w:b/>
                <w:bCs/>
                <w:sz w:val="22"/>
                <w:szCs w:val="22"/>
                <w:lang w:val="es-ES"/>
              </w:rPr>
              <w:lastRenderedPageBreak/>
              <w:t xml:space="preserve">La CMR-15 hizo suya </w:t>
            </w:r>
            <w:r w:rsidRPr="00357C6C">
              <w:rPr>
                <w:rFonts w:asciiTheme="majorBidi" w:hAnsiTheme="majorBidi" w:cstheme="majorBidi"/>
                <w:bCs/>
                <w:sz w:val="22"/>
                <w:szCs w:val="22"/>
                <w:lang w:val="es-ES"/>
              </w:rPr>
              <w:t>la sugerencia del Director y recomendó a la RRB que elaborara una Regla de Procedimiento adecuada.</w:t>
            </w:r>
          </w:p>
          <w:p w14:paraId="5C4EF1FB" w14:textId="77777777" w:rsidR="00967792" w:rsidRPr="00357C6C" w:rsidRDefault="00967792" w:rsidP="009B6AB9">
            <w:pPr>
              <w:pStyle w:val="Default"/>
              <w:tabs>
                <w:tab w:val="left" w:pos="1003"/>
              </w:tabs>
              <w:spacing w:before="40" w:after="40"/>
              <w:rPr>
                <w:rFonts w:asciiTheme="majorBidi" w:hAnsiTheme="majorBidi" w:cstheme="majorBidi"/>
                <w:b/>
                <w:bCs/>
                <w:sz w:val="22"/>
                <w:szCs w:val="22"/>
                <w:lang w:val="es-ES"/>
              </w:rPr>
            </w:pPr>
            <w:r w:rsidRPr="00357C6C">
              <w:rPr>
                <w:rFonts w:asciiTheme="majorBidi" w:hAnsiTheme="majorBidi" w:cstheme="majorBidi"/>
                <w:b/>
                <w:bCs/>
                <w:sz w:val="22"/>
                <w:szCs w:val="22"/>
                <w:lang w:val="es-ES"/>
              </w:rPr>
              <w:t>3.2.2.4.2</w:t>
            </w:r>
            <w:r w:rsidRPr="00357C6C">
              <w:rPr>
                <w:rFonts w:asciiTheme="majorBidi" w:hAnsiTheme="majorBidi" w:cstheme="majorBidi"/>
                <w:b/>
                <w:bCs/>
                <w:sz w:val="22"/>
                <w:szCs w:val="22"/>
                <w:lang w:val="es-ES"/>
              </w:rPr>
              <w:tab/>
              <w:t>Aplicación del Artículo 22 del Reglamento de Radiocomunicaciones para la protección de redes del SFS OSG y del SRS OSG contra los sistemas del SFS no OSG</w:t>
            </w:r>
          </w:p>
          <w:p w14:paraId="5BA6193A" w14:textId="77777777" w:rsidR="00967792" w:rsidRPr="00357C6C" w:rsidRDefault="00967792" w:rsidP="00B53355">
            <w:pPr>
              <w:pStyle w:val="Tabletext"/>
              <w:rPr>
                <w:rFonts w:asciiTheme="majorBidi" w:hAnsiTheme="majorBidi" w:cstheme="majorBidi"/>
                <w:bCs/>
                <w:lang w:val="es-ES"/>
              </w:rPr>
            </w:pPr>
            <w:r w:rsidRPr="00357C6C">
              <w:rPr>
                <w:rFonts w:asciiTheme="majorBidi" w:hAnsiTheme="majorBidi" w:cstheme="majorBidi"/>
                <w:bCs/>
                <w:lang w:val="es-ES"/>
              </w:rPr>
              <w:t>En los casos en que el programa informático no sea capaz de establecer el modelo de determinados sistemas del SFS no OSG, la Resolución 85 (CMR-03) seguirá aplicándose hasta que se haya acordado en el UIT-R una actualización de la Recomendación UIT</w:t>
            </w:r>
            <w:r w:rsidRPr="00357C6C">
              <w:rPr>
                <w:rFonts w:asciiTheme="majorBidi" w:hAnsiTheme="majorBidi" w:cstheme="majorBidi"/>
                <w:bCs/>
                <w:lang w:val="es-ES"/>
              </w:rPr>
              <w:noBreakHyphen/>
              <w:t xml:space="preserve">R S.1503 que mejore la modelización de dichos </w:t>
            </w:r>
            <w:r w:rsidRPr="00B53355">
              <w:rPr>
                <w:lang w:val="es-ES"/>
              </w:rPr>
              <w:t>sistemas</w:t>
            </w:r>
            <w:r w:rsidRPr="00357C6C">
              <w:rPr>
                <w:rFonts w:asciiTheme="majorBidi" w:hAnsiTheme="majorBidi" w:cstheme="majorBidi"/>
                <w:bCs/>
                <w:lang w:val="es-ES"/>
              </w:rPr>
              <w:t xml:space="preserve"> no OSG y se haya aplicado en el programa informático de validación de dfpe. Eso no impediría a la Oficina proceder a verificar los sistemas del SFS no OSG para los que se pueda realizar una modelización con la versión existente del programa informático.</w:t>
            </w:r>
          </w:p>
          <w:p w14:paraId="0E22A741" w14:textId="77777777" w:rsidR="00967792" w:rsidRPr="00357C6C" w:rsidRDefault="00967792" w:rsidP="00B53355">
            <w:pPr>
              <w:pStyle w:val="Default"/>
              <w:spacing w:before="40" w:after="40"/>
              <w:rPr>
                <w:rFonts w:asciiTheme="majorBidi" w:hAnsiTheme="majorBidi" w:cstheme="majorBidi"/>
                <w:bCs/>
                <w:sz w:val="22"/>
                <w:szCs w:val="22"/>
                <w:lang w:val="es-ES"/>
              </w:rPr>
            </w:pPr>
            <w:r w:rsidRPr="00357C6C">
              <w:rPr>
                <w:rFonts w:asciiTheme="majorBidi" w:hAnsiTheme="majorBidi" w:cstheme="majorBidi"/>
                <w:bCs/>
                <w:sz w:val="22"/>
                <w:szCs w:val="22"/>
                <w:lang w:val="es-ES"/>
              </w:rPr>
              <w:t>En el caso de que hubiera una actualización de la Recomendación UIT-R S.1503, habría que exigir en consecuencia una actualización del programa informático de verificación, lo que tendría consecuencias financieras y requeriría una financiación adicional. La Oficina estaría entonces en condiciones de completar la verificación del cumplimiento de los sistemas del SFS para las que no hubiera podido establecerse la modelización con el programa informático actual.</w:t>
            </w:r>
          </w:p>
          <w:p w14:paraId="627732A4" w14:textId="77777777" w:rsidR="00967792" w:rsidRPr="00357C6C" w:rsidRDefault="00967792" w:rsidP="00B53355">
            <w:pPr>
              <w:pStyle w:val="Default"/>
              <w:spacing w:before="40" w:after="40"/>
              <w:rPr>
                <w:rFonts w:asciiTheme="majorBidi" w:hAnsiTheme="majorBidi" w:cstheme="majorBidi"/>
                <w:b/>
                <w:bCs/>
                <w:sz w:val="22"/>
                <w:szCs w:val="22"/>
                <w:lang w:val="es-ES"/>
              </w:rPr>
            </w:pPr>
            <w:r w:rsidRPr="00357C6C">
              <w:rPr>
                <w:rFonts w:asciiTheme="majorBidi" w:hAnsiTheme="majorBidi" w:cstheme="majorBidi"/>
                <w:b/>
                <w:bCs/>
                <w:sz w:val="22"/>
                <w:szCs w:val="22"/>
                <w:lang w:val="es-ES"/>
              </w:rPr>
              <w:lastRenderedPageBreak/>
              <w:t>3.2.3</w:t>
            </w:r>
            <w:r w:rsidRPr="00357C6C">
              <w:rPr>
                <w:rFonts w:asciiTheme="majorBidi" w:hAnsiTheme="majorBidi" w:cstheme="majorBidi"/>
                <w:b/>
                <w:bCs/>
                <w:sz w:val="22"/>
                <w:szCs w:val="22"/>
                <w:lang w:val="es-ES"/>
              </w:rPr>
              <w:tab/>
              <w:t>Artículo 11 del Reglamento de Radiocomunicaciones</w:t>
            </w:r>
          </w:p>
          <w:p w14:paraId="11DEA91A" w14:textId="05A76F15" w:rsidR="00967792" w:rsidRPr="00357C6C" w:rsidRDefault="00967792" w:rsidP="00B53355">
            <w:pPr>
              <w:pStyle w:val="Default"/>
              <w:spacing w:before="40" w:after="40"/>
              <w:rPr>
                <w:rFonts w:asciiTheme="majorBidi" w:hAnsiTheme="majorBidi" w:cstheme="majorBidi"/>
                <w:bCs/>
                <w:i/>
                <w:iCs/>
                <w:sz w:val="22"/>
                <w:szCs w:val="22"/>
                <w:lang w:val="es-ES"/>
              </w:rPr>
            </w:pPr>
            <w:r w:rsidRPr="00357C6C">
              <w:rPr>
                <w:rFonts w:asciiTheme="majorBidi" w:hAnsiTheme="majorBidi" w:cstheme="majorBidi"/>
                <w:bCs/>
                <w:i/>
                <w:iCs/>
                <w:sz w:val="22"/>
                <w:szCs w:val="22"/>
                <w:lang w:val="es-ES"/>
              </w:rPr>
              <w:t>La Junta decide incluir la decisión siguiente como nota en la Regla de Procedimiento correspondiente al núm</w:t>
            </w:r>
            <w:r w:rsidR="00B53355">
              <w:rPr>
                <w:rFonts w:asciiTheme="majorBidi" w:hAnsiTheme="majorBidi" w:cstheme="majorBidi"/>
                <w:bCs/>
                <w:i/>
                <w:iCs/>
                <w:sz w:val="22"/>
                <w:szCs w:val="22"/>
                <w:lang w:val="es-ES"/>
              </w:rPr>
              <w:t>ero</w:t>
            </w:r>
            <w:r w:rsidRPr="00357C6C">
              <w:rPr>
                <w:rFonts w:asciiTheme="majorBidi" w:hAnsiTheme="majorBidi" w:cstheme="majorBidi"/>
                <w:bCs/>
                <w:i/>
                <w:iCs/>
                <w:sz w:val="22"/>
                <w:szCs w:val="22"/>
                <w:lang w:val="es-ES"/>
              </w:rPr>
              <w:t xml:space="preserve"> </w:t>
            </w:r>
            <w:r w:rsidRPr="00357C6C">
              <w:rPr>
                <w:rFonts w:asciiTheme="majorBidi" w:hAnsiTheme="majorBidi" w:cstheme="majorBidi"/>
                <w:b/>
                <w:i/>
                <w:iCs/>
                <w:sz w:val="22"/>
                <w:szCs w:val="22"/>
                <w:lang w:val="es-ES"/>
              </w:rPr>
              <w:t>11.32</w:t>
            </w:r>
            <w:r w:rsidRPr="00357C6C">
              <w:rPr>
                <w:rFonts w:asciiTheme="majorBidi" w:hAnsiTheme="majorBidi" w:cstheme="majorBidi"/>
                <w:bCs/>
                <w:i/>
                <w:iCs/>
                <w:sz w:val="22"/>
                <w:szCs w:val="22"/>
                <w:lang w:val="es-ES"/>
              </w:rPr>
              <w:t xml:space="preserve"> del RR en su 73ª reunión (</w:t>
            </w:r>
            <w:hyperlink r:id="rId188" w:history="1">
              <w:r w:rsidRPr="00357C6C">
                <w:rPr>
                  <w:rStyle w:val="Hyperlink"/>
                  <w:rFonts w:asciiTheme="majorBidi" w:hAnsiTheme="majorBidi" w:cstheme="majorBidi"/>
                  <w:bCs/>
                  <w:i/>
                  <w:iCs/>
                  <w:sz w:val="22"/>
                  <w:szCs w:val="22"/>
                  <w:lang w:val="es-ES"/>
                </w:rPr>
                <w:t>CR/412</w:t>
              </w:r>
            </w:hyperlink>
            <w:r w:rsidRPr="00357C6C">
              <w:rPr>
                <w:rFonts w:asciiTheme="majorBidi" w:hAnsiTheme="majorBidi" w:cstheme="majorBidi"/>
                <w:bCs/>
                <w:i/>
                <w:iCs/>
                <w:sz w:val="22"/>
                <w:szCs w:val="22"/>
                <w:lang w:val="es-ES"/>
              </w:rPr>
              <w:t>).</w:t>
            </w:r>
          </w:p>
          <w:p w14:paraId="6C220D14" w14:textId="6BB409AB" w:rsidR="00967792" w:rsidRPr="00357C6C" w:rsidRDefault="00967792" w:rsidP="00B53355">
            <w:pPr>
              <w:pStyle w:val="Default"/>
              <w:spacing w:before="40" w:after="40"/>
              <w:rPr>
                <w:rFonts w:asciiTheme="majorBidi" w:hAnsiTheme="majorBidi" w:cstheme="majorBidi"/>
                <w:b/>
                <w:bCs/>
                <w:sz w:val="22"/>
                <w:szCs w:val="22"/>
                <w:lang w:val="es-ES"/>
              </w:rPr>
            </w:pPr>
            <w:r w:rsidRPr="00357C6C">
              <w:rPr>
                <w:rFonts w:asciiTheme="majorBidi" w:hAnsiTheme="majorBidi" w:cstheme="majorBidi"/>
                <w:b/>
                <w:bCs/>
                <w:sz w:val="22"/>
                <w:szCs w:val="22"/>
                <w:lang w:val="es-ES"/>
              </w:rPr>
              <w:t>3.2.3.2</w:t>
            </w:r>
            <w:r w:rsidRPr="00357C6C">
              <w:rPr>
                <w:rFonts w:asciiTheme="majorBidi" w:hAnsiTheme="majorBidi" w:cstheme="majorBidi"/>
                <w:b/>
                <w:bCs/>
                <w:sz w:val="22"/>
                <w:szCs w:val="22"/>
                <w:lang w:val="es-ES"/>
              </w:rPr>
              <w:tab/>
              <w:t>Objeción a un acuerdo de coordinación tras la publicación de la Parte</w:t>
            </w:r>
            <w:r w:rsidR="00B53355">
              <w:rPr>
                <w:rFonts w:asciiTheme="majorBidi" w:hAnsiTheme="majorBidi" w:cstheme="majorBidi"/>
                <w:b/>
                <w:bCs/>
                <w:sz w:val="22"/>
                <w:szCs w:val="22"/>
                <w:lang w:val="es-ES"/>
              </w:rPr>
              <w:t> </w:t>
            </w:r>
            <w:r w:rsidRPr="00357C6C">
              <w:rPr>
                <w:rFonts w:asciiTheme="majorBidi" w:hAnsiTheme="majorBidi" w:cstheme="majorBidi"/>
                <w:b/>
                <w:bCs/>
                <w:sz w:val="22"/>
                <w:szCs w:val="22"/>
                <w:lang w:val="es-ES"/>
              </w:rPr>
              <w:t>I-S</w:t>
            </w:r>
          </w:p>
          <w:p w14:paraId="715CB88A" w14:textId="77777777" w:rsidR="00967792" w:rsidRPr="00357C6C" w:rsidRDefault="00967792" w:rsidP="00B53355">
            <w:pPr>
              <w:pStyle w:val="Default"/>
              <w:spacing w:before="40" w:after="40"/>
              <w:rPr>
                <w:rFonts w:asciiTheme="majorBidi" w:hAnsiTheme="majorBidi" w:cstheme="majorBidi"/>
                <w:bCs/>
                <w:sz w:val="22"/>
                <w:szCs w:val="22"/>
                <w:lang w:val="es-ES"/>
              </w:rPr>
            </w:pPr>
            <w:r w:rsidRPr="00357C6C">
              <w:rPr>
                <w:rFonts w:asciiTheme="majorBidi" w:hAnsiTheme="majorBidi" w:cstheme="majorBidi"/>
                <w:b/>
                <w:bCs/>
                <w:sz w:val="22"/>
                <w:szCs w:val="22"/>
                <w:lang w:val="es-ES"/>
              </w:rPr>
              <w:t xml:space="preserve">La CMR-15 apoyó </w:t>
            </w:r>
            <w:r w:rsidRPr="00357C6C">
              <w:rPr>
                <w:rFonts w:asciiTheme="majorBidi" w:hAnsiTheme="majorBidi" w:cstheme="majorBidi"/>
                <w:bCs/>
                <w:sz w:val="22"/>
                <w:szCs w:val="22"/>
                <w:lang w:val="es-ES"/>
              </w:rPr>
              <w:t>la solución presentada en esta sección.</w:t>
            </w:r>
          </w:p>
          <w:p w14:paraId="0D208524" w14:textId="77777777" w:rsidR="00967792" w:rsidRPr="00357C6C" w:rsidRDefault="00967792" w:rsidP="00B53355">
            <w:pPr>
              <w:pStyle w:val="Default"/>
              <w:spacing w:before="40" w:after="40"/>
              <w:rPr>
                <w:rFonts w:asciiTheme="majorBidi" w:hAnsiTheme="majorBidi" w:cstheme="majorBidi"/>
                <w:b/>
                <w:bCs/>
                <w:sz w:val="22"/>
                <w:szCs w:val="22"/>
                <w:lang w:val="es-ES"/>
              </w:rPr>
            </w:pPr>
            <w:r w:rsidRPr="00357C6C">
              <w:rPr>
                <w:rFonts w:asciiTheme="majorBidi" w:hAnsiTheme="majorBidi" w:cstheme="majorBidi"/>
                <w:b/>
                <w:bCs/>
                <w:sz w:val="22"/>
                <w:szCs w:val="22"/>
                <w:lang w:val="es-ES"/>
              </w:rPr>
              <w:t>3.2.3.9</w:t>
            </w:r>
            <w:r w:rsidRPr="00357C6C">
              <w:rPr>
                <w:rFonts w:asciiTheme="majorBidi" w:hAnsiTheme="majorBidi" w:cstheme="majorBidi"/>
                <w:b/>
                <w:bCs/>
                <w:sz w:val="22"/>
                <w:szCs w:val="22"/>
                <w:lang w:val="es-ES"/>
              </w:rPr>
              <w:tab/>
              <w:t>Asignaciones de frecuencias a redes de satélites OSG del SFS, el SRS y el SMS, y funciones de operaciones espaciales asociadas, inscritas con exceso de características notificadas</w:t>
            </w:r>
          </w:p>
          <w:p w14:paraId="33A0650F" w14:textId="77777777" w:rsidR="00967792" w:rsidRPr="00357C6C" w:rsidRDefault="00967792" w:rsidP="00B53355">
            <w:pPr>
              <w:pStyle w:val="Default"/>
              <w:spacing w:before="40" w:after="40"/>
              <w:rPr>
                <w:rFonts w:asciiTheme="majorBidi" w:hAnsiTheme="majorBidi" w:cstheme="majorBidi"/>
                <w:bCs/>
                <w:sz w:val="22"/>
                <w:szCs w:val="22"/>
                <w:lang w:val="es-ES"/>
              </w:rPr>
            </w:pPr>
            <w:r w:rsidRPr="00357C6C">
              <w:rPr>
                <w:rFonts w:asciiTheme="majorBidi" w:hAnsiTheme="majorBidi" w:cstheme="majorBidi"/>
                <w:b/>
                <w:bCs/>
                <w:sz w:val="22"/>
                <w:szCs w:val="22"/>
                <w:lang w:val="es-ES"/>
              </w:rPr>
              <w:t xml:space="preserve">La CMR-15 manifestó su apoyo general </w:t>
            </w:r>
            <w:r w:rsidRPr="00357C6C">
              <w:rPr>
                <w:rFonts w:asciiTheme="majorBidi" w:hAnsiTheme="majorBidi" w:cstheme="majorBidi"/>
                <w:bCs/>
                <w:sz w:val="22"/>
                <w:szCs w:val="22"/>
                <w:lang w:val="es-ES"/>
              </w:rPr>
              <w:t>a las ideas presentadas en esta sección y propuso a la BR que se dirija a las Comisiones de Estudio del UIT-R para que ayuden a definir los criterios que deben utilizarse en sus análisis.</w:t>
            </w:r>
          </w:p>
          <w:p w14:paraId="2B51C605" w14:textId="77777777" w:rsidR="00967792" w:rsidRPr="00357C6C" w:rsidRDefault="00967792" w:rsidP="00B53355">
            <w:pPr>
              <w:pStyle w:val="Default"/>
              <w:spacing w:before="40" w:after="40"/>
              <w:rPr>
                <w:rFonts w:asciiTheme="majorBidi" w:hAnsiTheme="majorBidi" w:cstheme="majorBidi"/>
                <w:b/>
                <w:bCs/>
                <w:sz w:val="22"/>
                <w:szCs w:val="22"/>
                <w:lang w:val="es-ES"/>
              </w:rPr>
            </w:pPr>
            <w:r w:rsidRPr="00357C6C">
              <w:rPr>
                <w:rFonts w:asciiTheme="majorBidi" w:hAnsiTheme="majorBidi" w:cstheme="majorBidi"/>
                <w:b/>
                <w:bCs/>
                <w:sz w:val="22"/>
                <w:szCs w:val="22"/>
                <w:lang w:val="es-ES"/>
              </w:rPr>
              <w:t>3.2.4</w:t>
            </w:r>
            <w:r w:rsidRPr="00357C6C">
              <w:rPr>
                <w:rFonts w:asciiTheme="majorBidi" w:hAnsiTheme="majorBidi" w:cstheme="majorBidi"/>
                <w:b/>
                <w:bCs/>
                <w:sz w:val="22"/>
                <w:szCs w:val="22"/>
                <w:lang w:val="es-ES"/>
              </w:rPr>
              <w:tab/>
              <w:t>Otros Artículos del Reglamento de Radiocomunicaciones</w:t>
            </w:r>
          </w:p>
          <w:p w14:paraId="7B2671EC" w14:textId="0C5EA77A" w:rsidR="00967792" w:rsidRPr="00357C6C" w:rsidRDefault="00967792" w:rsidP="00B53355">
            <w:pPr>
              <w:pStyle w:val="Default"/>
              <w:spacing w:before="40" w:after="40"/>
              <w:rPr>
                <w:rFonts w:asciiTheme="majorBidi" w:hAnsiTheme="majorBidi" w:cstheme="majorBidi"/>
                <w:bCs/>
                <w:i/>
                <w:iCs/>
                <w:sz w:val="22"/>
                <w:szCs w:val="22"/>
                <w:lang w:val="es-ES"/>
              </w:rPr>
            </w:pPr>
            <w:r w:rsidRPr="00357C6C">
              <w:rPr>
                <w:rFonts w:asciiTheme="majorBidi" w:hAnsiTheme="majorBidi" w:cstheme="majorBidi"/>
                <w:bCs/>
                <w:i/>
                <w:iCs/>
                <w:sz w:val="22"/>
                <w:szCs w:val="22"/>
                <w:lang w:val="es-ES"/>
              </w:rPr>
              <w:t>La Junta decide incluir la decisión siguiente como nota en la Regla de Procedimiento correspondiente a los núm</w:t>
            </w:r>
            <w:r w:rsidR="00B53355">
              <w:rPr>
                <w:rFonts w:asciiTheme="majorBidi" w:hAnsiTheme="majorBidi" w:cstheme="majorBidi"/>
                <w:bCs/>
                <w:i/>
                <w:iCs/>
                <w:sz w:val="22"/>
                <w:szCs w:val="22"/>
                <w:lang w:val="es-ES"/>
              </w:rPr>
              <w:t>eros</w:t>
            </w:r>
            <w:r w:rsidRPr="00357C6C">
              <w:rPr>
                <w:rFonts w:asciiTheme="majorBidi" w:hAnsiTheme="majorBidi" w:cstheme="majorBidi"/>
                <w:bCs/>
                <w:i/>
                <w:iCs/>
                <w:sz w:val="22"/>
                <w:szCs w:val="22"/>
                <w:lang w:val="es-ES"/>
              </w:rPr>
              <w:t xml:space="preserve"> </w:t>
            </w:r>
            <w:r w:rsidRPr="00357C6C">
              <w:rPr>
                <w:rFonts w:asciiTheme="majorBidi" w:hAnsiTheme="majorBidi" w:cstheme="majorBidi"/>
                <w:b/>
                <w:i/>
                <w:iCs/>
                <w:sz w:val="22"/>
                <w:szCs w:val="22"/>
                <w:lang w:val="es-ES"/>
              </w:rPr>
              <w:t xml:space="preserve">23.13B </w:t>
            </w:r>
            <w:r w:rsidRPr="00357C6C">
              <w:rPr>
                <w:rFonts w:asciiTheme="majorBidi" w:hAnsiTheme="majorBidi" w:cstheme="majorBidi"/>
                <w:bCs/>
                <w:i/>
                <w:iCs/>
                <w:sz w:val="22"/>
                <w:szCs w:val="22"/>
                <w:lang w:val="es-ES"/>
              </w:rPr>
              <w:t>y</w:t>
            </w:r>
            <w:r w:rsidRPr="00357C6C">
              <w:rPr>
                <w:rFonts w:asciiTheme="majorBidi" w:hAnsiTheme="majorBidi" w:cstheme="majorBidi"/>
                <w:b/>
                <w:i/>
                <w:iCs/>
                <w:sz w:val="22"/>
                <w:szCs w:val="22"/>
                <w:lang w:val="es-ES"/>
              </w:rPr>
              <w:t xml:space="preserve"> 23.13C</w:t>
            </w:r>
            <w:r w:rsidRPr="00357C6C">
              <w:rPr>
                <w:rFonts w:asciiTheme="majorBidi" w:hAnsiTheme="majorBidi" w:cstheme="majorBidi"/>
                <w:bCs/>
                <w:i/>
                <w:iCs/>
                <w:sz w:val="22"/>
                <w:szCs w:val="22"/>
                <w:lang w:val="es-ES"/>
              </w:rPr>
              <w:t xml:space="preserve"> del RR en su 73ª reunión (</w:t>
            </w:r>
            <w:hyperlink r:id="rId189" w:history="1">
              <w:r w:rsidRPr="00357C6C">
                <w:rPr>
                  <w:rStyle w:val="Hyperlink"/>
                  <w:rFonts w:asciiTheme="majorBidi" w:hAnsiTheme="majorBidi" w:cstheme="majorBidi"/>
                  <w:bCs/>
                  <w:i/>
                  <w:iCs/>
                  <w:sz w:val="22"/>
                  <w:szCs w:val="22"/>
                  <w:lang w:val="es-ES"/>
                </w:rPr>
                <w:t>CR/412</w:t>
              </w:r>
            </w:hyperlink>
            <w:r w:rsidRPr="00357C6C">
              <w:rPr>
                <w:rFonts w:asciiTheme="majorBidi" w:hAnsiTheme="majorBidi" w:cstheme="majorBidi"/>
                <w:bCs/>
                <w:i/>
                <w:iCs/>
                <w:sz w:val="22"/>
                <w:szCs w:val="22"/>
                <w:lang w:val="es-ES"/>
              </w:rPr>
              <w:t>).</w:t>
            </w:r>
          </w:p>
          <w:p w14:paraId="0BD0237E" w14:textId="77777777" w:rsidR="00967792" w:rsidRPr="00357C6C" w:rsidRDefault="00967792" w:rsidP="00B53355">
            <w:pPr>
              <w:pStyle w:val="Default"/>
              <w:spacing w:before="40" w:after="40"/>
              <w:rPr>
                <w:rFonts w:asciiTheme="majorBidi" w:hAnsiTheme="majorBidi" w:cstheme="majorBidi"/>
                <w:b/>
                <w:bCs/>
                <w:sz w:val="22"/>
                <w:szCs w:val="22"/>
                <w:lang w:val="es-ES"/>
              </w:rPr>
            </w:pPr>
            <w:r w:rsidRPr="00357C6C">
              <w:rPr>
                <w:rFonts w:asciiTheme="majorBidi" w:hAnsiTheme="majorBidi" w:cstheme="majorBidi"/>
                <w:b/>
                <w:bCs/>
                <w:sz w:val="22"/>
                <w:szCs w:val="22"/>
                <w:lang w:val="es-ES"/>
              </w:rPr>
              <w:t>3.2.4.2</w:t>
            </w:r>
            <w:r w:rsidRPr="00357C6C">
              <w:rPr>
                <w:rFonts w:asciiTheme="majorBidi" w:hAnsiTheme="majorBidi" w:cstheme="majorBidi"/>
                <w:b/>
                <w:bCs/>
                <w:sz w:val="22"/>
                <w:szCs w:val="22"/>
                <w:lang w:val="es-ES"/>
              </w:rPr>
              <w:tab/>
              <w:t>Tramitación de solicitudes en virtud del número 23.13B del Reglamento de Radiocomunicaciones con respecto a una red notificada en virtud del Apéndice 30</w:t>
            </w:r>
          </w:p>
          <w:p w14:paraId="4AEE4714" w14:textId="77777777" w:rsidR="00967792" w:rsidRPr="00357C6C" w:rsidRDefault="00967792" w:rsidP="00B53355">
            <w:pPr>
              <w:pStyle w:val="Default"/>
              <w:spacing w:before="40" w:after="40"/>
              <w:rPr>
                <w:rFonts w:asciiTheme="majorBidi" w:hAnsiTheme="majorBidi" w:cstheme="majorBidi"/>
                <w:bCs/>
                <w:sz w:val="22"/>
                <w:szCs w:val="22"/>
                <w:lang w:val="es-ES"/>
              </w:rPr>
            </w:pPr>
            <w:r w:rsidRPr="00357C6C">
              <w:rPr>
                <w:rFonts w:asciiTheme="majorBidi" w:hAnsiTheme="majorBidi" w:cstheme="majorBidi"/>
                <w:b/>
                <w:bCs/>
                <w:sz w:val="22"/>
                <w:szCs w:val="22"/>
                <w:lang w:val="es-ES"/>
              </w:rPr>
              <w:t xml:space="preserve">La CMR-15 aprobó </w:t>
            </w:r>
            <w:r w:rsidRPr="00357C6C">
              <w:rPr>
                <w:rFonts w:asciiTheme="majorBidi" w:hAnsiTheme="majorBidi" w:cstheme="majorBidi"/>
                <w:bCs/>
                <w:sz w:val="22"/>
                <w:szCs w:val="22"/>
                <w:lang w:val="es-ES"/>
              </w:rPr>
              <w:t>el método propuesto.</w:t>
            </w:r>
          </w:p>
          <w:p w14:paraId="3229ADD9" w14:textId="77777777" w:rsidR="00967792" w:rsidRPr="00357C6C" w:rsidRDefault="00967792" w:rsidP="00B53355">
            <w:pPr>
              <w:pStyle w:val="Default"/>
              <w:spacing w:before="40" w:after="40"/>
              <w:rPr>
                <w:rFonts w:asciiTheme="majorBidi" w:hAnsiTheme="majorBidi" w:cstheme="majorBidi"/>
                <w:b/>
                <w:bCs/>
                <w:sz w:val="22"/>
                <w:szCs w:val="22"/>
                <w:lang w:val="es-ES"/>
              </w:rPr>
            </w:pPr>
            <w:r w:rsidRPr="00357C6C">
              <w:rPr>
                <w:rFonts w:asciiTheme="majorBidi" w:hAnsiTheme="majorBidi" w:cstheme="majorBidi"/>
                <w:b/>
                <w:bCs/>
                <w:sz w:val="22"/>
                <w:szCs w:val="22"/>
                <w:lang w:val="es-ES"/>
              </w:rPr>
              <w:lastRenderedPageBreak/>
              <w:t>3.2.4.3</w:t>
            </w:r>
            <w:r w:rsidRPr="00357C6C">
              <w:rPr>
                <w:rFonts w:asciiTheme="majorBidi" w:hAnsiTheme="majorBidi" w:cstheme="majorBidi"/>
                <w:b/>
                <w:bCs/>
                <w:sz w:val="22"/>
                <w:szCs w:val="22"/>
                <w:lang w:val="es-ES"/>
              </w:rPr>
              <w:tab/>
              <w:t>Asignaciones de frecuencias utilizadas en servicios espaciales con referencia directa o indirecta a las disposiciones del Artículo 48 de la Constitución</w:t>
            </w:r>
          </w:p>
          <w:p w14:paraId="03FF20AC" w14:textId="77777777" w:rsidR="00967792" w:rsidRPr="00357C6C" w:rsidRDefault="00967792" w:rsidP="00B53355">
            <w:pPr>
              <w:pStyle w:val="Default"/>
              <w:spacing w:before="40" w:after="40"/>
              <w:rPr>
                <w:rFonts w:asciiTheme="majorBidi" w:hAnsiTheme="majorBidi" w:cstheme="majorBidi"/>
                <w:bCs/>
                <w:sz w:val="22"/>
                <w:szCs w:val="22"/>
                <w:lang w:val="es-ES"/>
              </w:rPr>
            </w:pPr>
            <w:r w:rsidRPr="00357C6C">
              <w:rPr>
                <w:rFonts w:asciiTheme="majorBidi" w:hAnsiTheme="majorBidi" w:cstheme="majorBidi"/>
                <w:bCs/>
                <w:sz w:val="22"/>
                <w:szCs w:val="22"/>
                <w:lang w:val="es-ES"/>
              </w:rPr>
              <w:t xml:space="preserve">Al debatir los problemas planteados en esta sección, junto con las cuestiones suscitadas en el Informe de la RRB sobre la Resolución 80 en relación con estos mismos problemas (véase la sección 4.4 del Documento 14), </w:t>
            </w:r>
            <w:r w:rsidRPr="00357C6C">
              <w:rPr>
                <w:rFonts w:asciiTheme="majorBidi" w:hAnsiTheme="majorBidi" w:cstheme="majorBidi"/>
                <w:b/>
                <w:bCs/>
                <w:sz w:val="22"/>
                <w:szCs w:val="22"/>
                <w:lang w:val="es-ES"/>
              </w:rPr>
              <w:t>la CMR-15 observó</w:t>
            </w:r>
            <w:r w:rsidRPr="00357C6C">
              <w:rPr>
                <w:rFonts w:asciiTheme="majorBidi" w:hAnsiTheme="majorBidi" w:cstheme="majorBidi"/>
                <w:bCs/>
                <w:sz w:val="22"/>
                <w:szCs w:val="22"/>
                <w:lang w:val="es-ES"/>
              </w:rPr>
              <w:t xml:space="preserve"> que el Artículo 48 se refiere a «instalaciones militares de radiocomunicaciones» y no a estaciones utilizadas con fines gubernamentales en general </w:t>
            </w:r>
            <w:r w:rsidRPr="00357C6C">
              <w:rPr>
                <w:rFonts w:asciiTheme="majorBidi" w:hAnsiTheme="majorBidi" w:cstheme="majorBidi"/>
                <w:b/>
                <w:bCs/>
                <w:sz w:val="22"/>
                <w:szCs w:val="22"/>
                <w:lang w:val="es-ES"/>
              </w:rPr>
              <w:t>y decidió que la BR</w:t>
            </w:r>
            <w:r w:rsidRPr="00357C6C">
              <w:rPr>
                <w:rFonts w:asciiTheme="majorBidi" w:hAnsiTheme="majorBidi" w:cstheme="majorBidi"/>
                <w:bCs/>
                <w:sz w:val="22"/>
                <w:szCs w:val="22"/>
                <w:lang w:val="es-ES"/>
              </w:rPr>
              <w:t xml:space="preserve"> no debe inferir que una administración se refiere al Artículo 48 de la Constitución en su respuesta a una consulta en virtud del número 13.6 del RR, a no ser que esta administración haya invocado explícitamente el Artículo 48. Además, </w:t>
            </w:r>
            <w:r w:rsidRPr="00357C6C">
              <w:rPr>
                <w:rFonts w:asciiTheme="majorBidi" w:hAnsiTheme="majorBidi" w:cstheme="majorBidi"/>
                <w:b/>
                <w:bCs/>
                <w:sz w:val="22"/>
                <w:szCs w:val="22"/>
                <w:lang w:val="es-ES"/>
              </w:rPr>
              <w:t>la CMR-15 también decidió</w:t>
            </w:r>
            <w:r w:rsidRPr="00357C6C">
              <w:rPr>
                <w:rFonts w:asciiTheme="majorBidi" w:hAnsiTheme="majorBidi" w:cstheme="majorBidi"/>
                <w:bCs/>
                <w:sz w:val="22"/>
                <w:szCs w:val="22"/>
                <w:lang w:val="es-ES"/>
              </w:rPr>
              <w:t xml:space="preserve"> que no debían existir restricciones en cuanto a la clase de estación ni naturaleza del servicio para una estación que pueda funcionar con arreglo al Artículo 48.</w:t>
            </w:r>
          </w:p>
          <w:p w14:paraId="6D951ADB" w14:textId="77777777" w:rsidR="00967792" w:rsidRPr="00357C6C" w:rsidRDefault="00967792" w:rsidP="00B53355">
            <w:pPr>
              <w:pStyle w:val="Default"/>
              <w:spacing w:before="40" w:after="40"/>
              <w:rPr>
                <w:rFonts w:asciiTheme="majorBidi" w:hAnsiTheme="majorBidi" w:cstheme="majorBidi"/>
                <w:b/>
                <w:bCs/>
                <w:sz w:val="22"/>
                <w:szCs w:val="22"/>
                <w:lang w:val="es-ES"/>
              </w:rPr>
            </w:pPr>
            <w:r w:rsidRPr="00357C6C">
              <w:rPr>
                <w:rFonts w:asciiTheme="majorBidi" w:hAnsiTheme="majorBidi" w:cstheme="majorBidi"/>
                <w:b/>
                <w:bCs/>
                <w:sz w:val="22"/>
                <w:szCs w:val="22"/>
                <w:lang w:val="es-ES"/>
              </w:rPr>
              <w:t>3.2.5</w:t>
            </w:r>
            <w:r w:rsidRPr="00357C6C">
              <w:rPr>
                <w:rFonts w:asciiTheme="majorBidi" w:hAnsiTheme="majorBidi" w:cstheme="majorBidi"/>
                <w:b/>
                <w:bCs/>
                <w:sz w:val="22"/>
                <w:szCs w:val="22"/>
                <w:lang w:val="es-ES"/>
              </w:rPr>
              <w:tab/>
              <w:t>Observaciones relativas a los Apéndices 4 y 8 del Reglamento de Radiocomunicaciones</w:t>
            </w:r>
          </w:p>
          <w:p w14:paraId="0C34427E" w14:textId="77777777" w:rsidR="00967792" w:rsidRPr="00357C6C" w:rsidRDefault="00967792" w:rsidP="00B53355">
            <w:pPr>
              <w:pStyle w:val="Default"/>
              <w:spacing w:before="40" w:after="40"/>
              <w:rPr>
                <w:rFonts w:asciiTheme="majorBidi" w:hAnsiTheme="majorBidi" w:cstheme="majorBidi"/>
                <w:b/>
                <w:bCs/>
                <w:sz w:val="22"/>
                <w:szCs w:val="22"/>
                <w:lang w:val="es-ES"/>
              </w:rPr>
            </w:pPr>
            <w:r w:rsidRPr="00357C6C">
              <w:rPr>
                <w:rFonts w:asciiTheme="majorBidi" w:hAnsiTheme="majorBidi" w:cstheme="majorBidi"/>
                <w:b/>
                <w:bCs/>
                <w:sz w:val="22"/>
                <w:szCs w:val="22"/>
                <w:lang w:val="es-ES"/>
              </w:rPr>
              <w:t>3.2.5.2.2</w:t>
            </w:r>
            <w:r w:rsidRPr="00357C6C">
              <w:rPr>
                <w:rFonts w:asciiTheme="majorBidi" w:hAnsiTheme="majorBidi" w:cstheme="majorBidi"/>
                <w:b/>
                <w:bCs/>
                <w:sz w:val="22"/>
                <w:szCs w:val="22"/>
                <w:lang w:val="es-ES"/>
              </w:rPr>
              <w:tab/>
              <w:t>Tratamiento de las asignaciones de frecuencias con un ancho de banda inferior al ancho de banda promediado declarado</w:t>
            </w:r>
          </w:p>
          <w:p w14:paraId="4BE783DC" w14:textId="77777777" w:rsidR="00967792" w:rsidRPr="00357C6C" w:rsidRDefault="00967792" w:rsidP="00B53355">
            <w:pPr>
              <w:pStyle w:val="Default"/>
              <w:spacing w:before="40" w:after="40"/>
              <w:rPr>
                <w:rFonts w:asciiTheme="majorBidi" w:hAnsiTheme="majorBidi" w:cstheme="majorBidi"/>
                <w:bCs/>
                <w:sz w:val="22"/>
                <w:szCs w:val="22"/>
                <w:lang w:val="es-ES"/>
              </w:rPr>
            </w:pPr>
            <w:r w:rsidRPr="00357C6C">
              <w:rPr>
                <w:rFonts w:asciiTheme="majorBidi" w:hAnsiTheme="majorBidi" w:cstheme="majorBidi"/>
                <w:bCs/>
                <w:sz w:val="22"/>
                <w:szCs w:val="22"/>
                <w:lang w:val="es-ES"/>
              </w:rPr>
              <w:t xml:space="preserve">La CMR-15 dio las gracias al Director por esta sección y </w:t>
            </w:r>
            <w:r w:rsidRPr="00357C6C">
              <w:rPr>
                <w:rFonts w:asciiTheme="majorBidi" w:hAnsiTheme="majorBidi" w:cstheme="majorBidi"/>
                <w:b/>
                <w:bCs/>
                <w:sz w:val="22"/>
                <w:szCs w:val="22"/>
                <w:lang w:val="es-ES"/>
              </w:rPr>
              <w:t xml:space="preserve">propuso que se dé traslado de </w:t>
            </w:r>
            <w:r w:rsidRPr="00357C6C">
              <w:rPr>
                <w:rFonts w:asciiTheme="majorBidi" w:hAnsiTheme="majorBidi" w:cstheme="majorBidi"/>
                <w:b/>
                <w:bCs/>
                <w:sz w:val="22"/>
                <w:szCs w:val="22"/>
                <w:lang w:val="es-ES"/>
              </w:rPr>
              <w:lastRenderedPageBreak/>
              <w:t>este asunto, con todo detalle</w:t>
            </w:r>
            <w:r w:rsidRPr="00357C6C">
              <w:rPr>
                <w:rFonts w:asciiTheme="majorBidi" w:hAnsiTheme="majorBidi" w:cstheme="majorBidi"/>
                <w:bCs/>
                <w:sz w:val="22"/>
                <w:szCs w:val="22"/>
                <w:lang w:val="es-ES"/>
              </w:rPr>
              <w:t>, a la Comisión de Estudio competente para que siga examinándose.</w:t>
            </w:r>
          </w:p>
          <w:p w14:paraId="0A5766BF" w14:textId="0730EA59" w:rsidR="00967792" w:rsidRPr="00357C6C" w:rsidRDefault="00967792" w:rsidP="00B53355">
            <w:pPr>
              <w:pStyle w:val="Default"/>
              <w:spacing w:before="40" w:after="40"/>
              <w:rPr>
                <w:rFonts w:asciiTheme="majorBidi" w:hAnsiTheme="majorBidi" w:cstheme="majorBidi"/>
                <w:bCs/>
                <w:i/>
                <w:iCs/>
                <w:sz w:val="22"/>
                <w:szCs w:val="22"/>
                <w:lang w:val="es-ES"/>
              </w:rPr>
            </w:pPr>
            <w:r w:rsidRPr="00357C6C">
              <w:rPr>
                <w:rFonts w:asciiTheme="majorBidi" w:hAnsiTheme="majorBidi" w:cstheme="majorBidi"/>
                <w:bCs/>
                <w:i/>
                <w:iCs/>
                <w:sz w:val="22"/>
                <w:szCs w:val="22"/>
                <w:lang w:val="es-ES"/>
              </w:rPr>
              <w:t>La Junta decide incluir la decisión siguiente como nota en la Regla de Procedimiento correspondiente al núm</w:t>
            </w:r>
            <w:r w:rsidR="00B53355">
              <w:rPr>
                <w:rFonts w:asciiTheme="majorBidi" w:hAnsiTheme="majorBidi" w:cstheme="majorBidi"/>
                <w:bCs/>
                <w:i/>
                <w:iCs/>
                <w:sz w:val="22"/>
                <w:szCs w:val="22"/>
                <w:lang w:val="es-ES"/>
              </w:rPr>
              <w:t>ero</w:t>
            </w:r>
            <w:r w:rsidRPr="00357C6C">
              <w:rPr>
                <w:rFonts w:asciiTheme="majorBidi" w:hAnsiTheme="majorBidi" w:cstheme="majorBidi"/>
                <w:bCs/>
                <w:i/>
                <w:iCs/>
                <w:sz w:val="22"/>
                <w:szCs w:val="22"/>
                <w:lang w:val="es-ES"/>
              </w:rPr>
              <w:t xml:space="preserve"> </w:t>
            </w:r>
            <w:r w:rsidRPr="00357C6C">
              <w:rPr>
                <w:rFonts w:asciiTheme="majorBidi" w:hAnsiTheme="majorBidi" w:cstheme="majorBidi"/>
                <w:b/>
                <w:i/>
                <w:iCs/>
                <w:sz w:val="22"/>
                <w:szCs w:val="22"/>
                <w:lang w:val="es-ES"/>
              </w:rPr>
              <w:t>21.14</w:t>
            </w:r>
            <w:r w:rsidRPr="00357C6C">
              <w:rPr>
                <w:rFonts w:asciiTheme="majorBidi" w:hAnsiTheme="majorBidi" w:cstheme="majorBidi"/>
                <w:bCs/>
                <w:i/>
                <w:iCs/>
                <w:sz w:val="22"/>
                <w:szCs w:val="22"/>
                <w:lang w:val="es-ES"/>
              </w:rPr>
              <w:t xml:space="preserve"> del RR en su 73ª reunión (</w:t>
            </w:r>
            <w:hyperlink r:id="rId190" w:history="1">
              <w:r w:rsidRPr="00357C6C">
                <w:rPr>
                  <w:rStyle w:val="Hyperlink"/>
                  <w:rFonts w:asciiTheme="majorBidi" w:hAnsiTheme="majorBidi" w:cstheme="majorBidi"/>
                  <w:bCs/>
                  <w:i/>
                  <w:iCs/>
                  <w:sz w:val="22"/>
                  <w:szCs w:val="22"/>
                  <w:lang w:val="es-ES"/>
                </w:rPr>
                <w:t>CR/412</w:t>
              </w:r>
            </w:hyperlink>
            <w:r w:rsidRPr="00357C6C">
              <w:rPr>
                <w:rFonts w:asciiTheme="majorBidi" w:hAnsiTheme="majorBidi" w:cstheme="majorBidi"/>
                <w:bCs/>
                <w:i/>
                <w:iCs/>
                <w:sz w:val="22"/>
                <w:szCs w:val="22"/>
                <w:lang w:val="es-ES"/>
              </w:rPr>
              <w:t>).</w:t>
            </w:r>
          </w:p>
          <w:p w14:paraId="5B8321DC" w14:textId="77777777" w:rsidR="00967792" w:rsidRPr="00357C6C" w:rsidRDefault="00967792" w:rsidP="002D0088">
            <w:pPr>
              <w:pStyle w:val="Default"/>
              <w:tabs>
                <w:tab w:val="left" w:pos="1003"/>
              </w:tabs>
              <w:spacing w:before="40" w:after="40"/>
              <w:rPr>
                <w:rFonts w:asciiTheme="majorBidi" w:hAnsiTheme="majorBidi" w:cstheme="majorBidi"/>
                <w:b/>
                <w:bCs/>
                <w:sz w:val="22"/>
                <w:szCs w:val="22"/>
                <w:lang w:val="es-ES"/>
              </w:rPr>
            </w:pPr>
            <w:r w:rsidRPr="00357C6C">
              <w:rPr>
                <w:rFonts w:asciiTheme="majorBidi" w:hAnsiTheme="majorBidi" w:cstheme="majorBidi"/>
                <w:b/>
                <w:bCs/>
                <w:sz w:val="22"/>
                <w:szCs w:val="22"/>
                <w:lang w:val="es-ES"/>
              </w:rPr>
              <w:t>3.2.5.2.6</w:t>
            </w:r>
            <w:r w:rsidRPr="00357C6C">
              <w:rPr>
                <w:rFonts w:asciiTheme="majorBidi" w:hAnsiTheme="majorBidi" w:cstheme="majorBidi"/>
                <w:b/>
                <w:bCs/>
                <w:sz w:val="22"/>
                <w:szCs w:val="22"/>
                <w:lang w:val="es-ES"/>
              </w:rPr>
              <w:tab/>
              <w:t>Zona de servicio por debajo de un ángulo de elevación de 3 grados</w:t>
            </w:r>
          </w:p>
          <w:p w14:paraId="50B6D97A" w14:textId="77777777" w:rsidR="00967792" w:rsidRPr="00357C6C" w:rsidRDefault="00967792" w:rsidP="00B53355">
            <w:pPr>
              <w:pStyle w:val="Default"/>
              <w:spacing w:before="40" w:after="40"/>
              <w:rPr>
                <w:rFonts w:asciiTheme="majorBidi" w:hAnsiTheme="majorBidi" w:cstheme="majorBidi"/>
                <w:bCs/>
                <w:i/>
                <w:sz w:val="22"/>
                <w:szCs w:val="22"/>
                <w:lang w:val="es-ES"/>
              </w:rPr>
            </w:pPr>
            <w:r w:rsidRPr="00357C6C">
              <w:rPr>
                <w:rFonts w:asciiTheme="majorBidi" w:hAnsiTheme="majorBidi" w:cstheme="majorBidi"/>
                <w:bCs/>
                <w:sz w:val="22"/>
                <w:szCs w:val="22"/>
                <w:lang w:val="es-ES"/>
              </w:rPr>
              <w:t xml:space="preserve">La CMR-15 examinó esta cuestión y </w:t>
            </w:r>
            <w:r w:rsidRPr="00357C6C">
              <w:rPr>
                <w:rFonts w:asciiTheme="majorBidi" w:hAnsiTheme="majorBidi" w:cstheme="majorBidi"/>
                <w:b/>
                <w:bCs/>
                <w:sz w:val="22"/>
                <w:szCs w:val="22"/>
                <w:lang w:val="es-ES"/>
              </w:rPr>
              <w:t>decidió solicitar a la BR</w:t>
            </w:r>
            <w:r w:rsidRPr="00357C6C">
              <w:rPr>
                <w:rFonts w:asciiTheme="majorBidi" w:hAnsiTheme="majorBidi" w:cstheme="majorBidi"/>
                <w:bCs/>
                <w:sz w:val="22"/>
                <w:szCs w:val="22"/>
                <w:lang w:val="es-ES"/>
              </w:rPr>
              <w:t xml:space="preserve"> que suprimiera el límite de 3 grados.</w:t>
            </w:r>
          </w:p>
          <w:p w14:paraId="11C1EE05" w14:textId="77777777" w:rsidR="00967792" w:rsidRPr="00357C6C" w:rsidRDefault="00967792" w:rsidP="00B53355">
            <w:pPr>
              <w:pStyle w:val="Default"/>
              <w:spacing w:before="40" w:after="40"/>
              <w:rPr>
                <w:rFonts w:asciiTheme="majorBidi" w:hAnsiTheme="majorBidi" w:cstheme="majorBidi"/>
                <w:b/>
                <w:bCs/>
                <w:sz w:val="22"/>
                <w:szCs w:val="22"/>
                <w:lang w:val="es-ES"/>
              </w:rPr>
            </w:pPr>
            <w:r w:rsidRPr="00357C6C">
              <w:rPr>
                <w:rFonts w:asciiTheme="majorBidi" w:hAnsiTheme="majorBidi" w:cstheme="majorBidi"/>
                <w:b/>
                <w:bCs/>
                <w:sz w:val="22"/>
                <w:szCs w:val="22"/>
                <w:lang w:val="es-ES"/>
              </w:rPr>
              <w:t>3.2.6</w:t>
            </w:r>
            <w:r w:rsidRPr="00357C6C">
              <w:rPr>
                <w:rFonts w:asciiTheme="majorBidi" w:hAnsiTheme="majorBidi" w:cstheme="majorBidi"/>
                <w:b/>
                <w:bCs/>
                <w:sz w:val="22"/>
                <w:szCs w:val="22"/>
                <w:lang w:val="es-ES"/>
              </w:rPr>
              <w:tab/>
              <w:t>Observaciones relativas a los Apéndices 30 y 30A del RR</w:t>
            </w:r>
          </w:p>
          <w:p w14:paraId="57D50158" w14:textId="08F2EC3F" w:rsidR="00967792" w:rsidRPr="00357C6C" w:rsidRDefault="00967792" w:rsidP="00B53355">
            <w:pPr>
              <w:pStyle w:val="Default"/>
              <w:spacing w:before="40" w:after="40"/>
              <w:rPr>
                <w:rFonts w:asciiTheme="majorBidi" w:hAnsiTheme="majorBidi" w:cstheme="majorBidi"/>
                <w:bCs/>
                <w:i/>
                <w:iCs/>
                <w:sz w:val="22"/>
                <w:szCs w:val="22"/>
                <w:lang w:val="es-ES"/>
              </w:rPr>
            </w:pPr>
            <w:r w:rsidRPr="00357C6C">
              <w:rPr>
                <w:rFonts w:asciiTheme="majorBidi" w:hAnsiTheme="majorBidi" w:cstheme="majorBidi"/>
                <w:bCs/>
                <w:i/>
                <w:iCs/>
                <w:sz w:val="22"/>
                <w:szCs w:val="22"/>
                <w:lang w:val="es-ES"/>
              </w:rPr>
              <w:t xml:space="preserve">La Junta decide incluir la decisión siguiente como nota en la Regla de Procedimiento correspondiente al Apéndice </w:t>
            </w:r>
            <w:r w:rsidRPr="00357C6C">
              <w:rPr>
                <w:rFonts w:asciiTheme="majorBidi" w:hAnsiTheme="majorBidi" w:cstheme="majorBidi"/>
                <w:b/>
                <w:i/>
                <w:iCs/>
                <w:sz w:val="22"/>
                <w:szCs w:val="22"/>
                <w:lang w:val="es-ES"/>
              </w:rPr>
              <w:t>30A</w:t>
            </w:r>
            <w:r w:rsidRPr="00357C6C">
              <w:rPr>
                <w:rFonts w:asciiTheme="majorBidi" w:hAnsiTheme="majorBidi" w:cstheme="majorBidi"/>
                <w:bCs/>
                <w:i/>
                <w:iCs/>
                <w:sz w:val="22"/>
                <w:szCs w:val="22"/>
                <w:lang w:val="es-ES"/>
              </w:rPr>
              <w:t xml:space="preserve"> del RR en su 73ª reunión (</w:t>
            </w:r>
            <w:hyperlink r:id="rId191" w:history="1">
              <w:r w:rsidR="00B53355" w:rsidRPr="00357C6C">
                <w:rPr>
                  <w:rStyle w:val="Hyperlink"/>
                  <w:rFonts w:asciiTheme="majorBidi" w:hAnsiTheme="majorBidi" w:cstheme="majorBidi"/>
                  <w:bCs/>
                  <w:i/>
                  <w:iCs/>
                  <w:sz w:val="22"/>
                  <w:szCs w:val="22"/>
                  <w:lang w:val="es-ES"/>
                </w:rPr>
                <w:t>CR/412</w:t>
              </w:r>
            </w:hyperlink>
            <w:r w:rsidRPr="00357C6C">
              <w:rPr>
                <w:rFonts w:asciiTheme="majorBidi" w:hAnsiTheme="majorBidi" w:cstheme="majorBidi"/>
                <w:bCs/>
                <w:i/>
                <w:iCs/>
                <w:sz w:val="22"/>
                <w:szCs w:val="22"/>
                <w:lang w:val="es-ES"/>
              </w:rPr>
              <w:t>).</w:t>
            </w:r>
          </w:p>
          <w:p w14:paraId="487BDEAA" w14:textId="77777777" w:rsidR="00967792" w:rsidRPr="00357C6C" w:rsidRDefault="00967792" w:rsidP="00B53355">
            <w:pPr>
              <w:pStyle w:val="Default"/>
              <w:spacing w:before="40" w:after="40"/>
              <w:rPr>
                <w:rFonts w:asciiTheme="majorBidi" w:hAnsiTheme="majorBidi" w:cstheme="majorBidi"/>
                <w:b/>
                <w:bCs/>
                <w:sz w:val="22"/>
                <w:szCs w:val="22"/>
                <w:lang w:val="es-ES"/>
              </w:rPr>
            </w:pPr>
            <w:r w:rsidRPr="00357C6C">
              <w:rPr>
                <w:rFonts w:asciiTheme="majorBidi" w:hAnsiTheme="majorBidi" w:cstheme="majorBidi"/>
                <w:b/>
                <w:bCs/>
                <w:sz w:val="22"/>
                <w:szCs w:val="22"/>
                <w:lang w:val="es-ES"/>
              </w:rPr>
              <w:t>3.2.6.2</w:t>
            </w:r>
            <w:r w:rsidRPr="00357C6C">
              <w:rPr>
                <w:rFonts w:asciiTheme="majorBidi" w:hAnsiTheme="majorBidi" w:cstheme="majorBidi"/>
                <w:b/>
                <w:bCs/>
                <w:sz w:val="22"/>
                <w:szCs w:val="22"/>
                <w:lang w:val="es-ES"/>
              </w:rPr>
              <w:tab/>
              <w:t>Cálculo del valor de control de potencia para las asignaciones de la Lista</w:t>
            </w:r>
          </w:p>
          <w:p w14:paraId="5319F327" w14:textId="77777777" w:rsidR="00967792" w:rsidRPr="00357C6C" w:rsidRDefault="00967792" w:rsidP="00B53355">
            <w:pPr>
              <w:pStyle w:val="Default"/>
              <w:spacing w:before="40" w:after="40"/>
              <w:rPr>
                <w:rFonts w:asciiTheme="majorBidi" w:hAnsiTheme="majorBidi" w:cstheme="majorBidi"/>
                <w:bCs/>
                <w:sz w:val="22"/>
                <w:szCs w:val="22"/>
                <w:lang w:val="es-ES"/>
              </w:rPr>
            </w:pPr>
            <w:r w:rsidRPr="00357C6C">
              <w:rPr>
                <w:rFonts w:asciiTheme="majorBidi" w:hAnsiTheme="majorBidi" w:cstheme="majorBidi"/>
                <w:b/>
                <w:bCs/>
                <w:sz w:val="22"/>
                <w:szCs w:val="22"/>
                <w:lang w:val="es-ES"/>
              </w:rPr>
              <w:t>La CMR-15 explicó</w:t>
            </w:r>
            <w:r w:rsidRPr="00357C6C">
              <w:rPr>
                <w:rFonts w:asciiTheme="majorBidi" w:hAnsiTheme="majorBidi" w:cstheme="majorBidi"/>
                <w:bCs/>
                <w:sz w:val="22"/>
                <w:szCs w:val="22"/>
                <w:lang w:val="es-ES"/>
              </w:rPr>
              <w:t xml:space="preserve"> que la utilización del control de potencia debe hacerse extensiva a las asignaciones de la Lista de las Regiones 1 y 3 y que por lo tanto debe modificarse en consecuencia la Regla de Procedimiento correspondiente</w:t>
            </w:r>
            <w:r w:rsidRPr="00357C6C">
              <w:rPr>
                <w:rFonts w:asciiTheme="majorBidi" w:hAnsiTheme="majorBidi" w:cstheme="majorBidi"/>
                <w:bCs/>
                <w:i/>
                <w:sz w:val="22"/>
                <w:szCs w:val="22"/>
                <w:lang w:val="es-ES"/>
              </w:rPr>
              <w:t>.</w:t>
            </w:r>
          </w:p>
          <w:p w14:paraId="059165A5" w14:textId="08ED94C4" w:rsidR="00B53355" w:rsidRPr="00357C6C" w:rsidRDefault="00B53355" w:rsidP="00B53355">
            <w:pPr>
              <w:pStyle w:val="Default"/>
              <w:spacing w:before="40" w:after="40"/>
              <w:rPr>
                <w:rFonts w:asciiTheme="majorBidi" w:hAnsiTheme="majorBidi" w:cstheme="majorBidi"/>
                <w:bCs/>
                <w:i/>
                <w:iCs/>
                <w:sz w:val="22"/>
                <w:szCs w:val="22"/>
                <w:lang w:val="es-ES"/>
              </w:rPr>
            </w:pPr>
            <w:bookmarkStart w:id="12" w:name="_Toc418836068"/>
            <w:r w:rsidRPr="00357C6C">
              <w:rPr>
                <w:rFonts w:asciiTheme="majorBidi" w:hAnsiTheme="majorBidi" w:cstheme="majorBidi"/>
                <w:bCs/>
                <w:i/>
                <w:iCs/>
                <w:sz w:val="22"/>
                <w:szCs w:val="22"/>
                <w:lang w:val="es-ES"/>
              </w:rPr>
              <w:t xml:space="preserve">La Junta decide incluir la decisión siguiente como nota en la Regla de Procedimiento correspondiente al </w:t>
            </w:r>
            <w:r>
              <w:rPr>
                <w:rFonts w:asciiTheme="majorBidi" w:hAnsiTheme="majorBidi" w:cstheme="majorBidi"/>
                <w:bCs/>
                <w:i/>
                <w:iCs/>
                <w:sz w:val="22"/>
                <w:szCs w:val="22"/>
                <w:lang w:val="es-ES"/>
              </w:rPr>
              <w:t>número</w:t>
            </w:r>
            <w:r w:rsidRPr="00357C6C">
              <w:rPr>
                <w:rFonts w:asciiTheme="majorBidi" w:hAnsiTheme="majorBidi" w:cstheme="majorBidi"/>
                <w:bCs/>
                <w:i/>
                <w:iCs/>
                <w:sz w:val="22"/>
                <w:szCs w:val="22"/>
                <w:lang w:val="es-ES"/>
              </w:rPr>
              <w:t xml:space="preserve"> </w:t>
            </w:r>
            <w:r>
              <w:rPr>
                <w:rFonts w:asciiTheme="majorBidi" w:hAnsiTheme="majorBidi" w:cstheme="majorBidi"/>
                <w:b/>
                <w:i/>
                <w:iCs/>
                <w:sz w:val="22"/>
                <w:szCs w:val="22"/>
                <w:lang w:val="es-ES"/>
              </w:rPr>
              <w:t>4.1.11</w:t>
            </w:r>
            <w:r w:rsidRPr="00357C6C">
              <w:rPr>
                <w:rFonts w:asciiTheme="majorBidi" w:hAnsiTheme="majorBidi" w:cstheme="majorBidi"/>
                <w:bCs/>
                <w:i/>
                <w:iCs/>
                <w:sz w:val="22"/>
                <w:szCs w:val="22"/>
                <w:lang w:val="es-ES"/>
              </w:rPr>
              <w:t xml:space="preserve"> del RR en su 73ª reunión (</w:t>
            </w:r>
            <w:hyperlink r:id="rId192" w:history="1">
              <w:r w:rsidRPr="00357C6C">
                <w:rPr>
                  <w:rStyle w:val="Hyperlink"/>
                  <w:rFonts w:asciiTheme="majorBidi" w:hAnsiTheme="majorBidi" w:cstheme="majorBidi"/>
                  <w:bCs/>
                  <w:i/>
                  <w:iCs/>
                  <w:sz w:val="22"/>
                  <w:szCs w:val="22"/>
                  <w:lang w:val="es-ES"/>
                </w:rPr>
                <w:t>CR/412</w:t>
              </w:r>
            </w:hyperlink>
            <w:r w:rsidRPr="00357C6C">
              <w:rPr>
                <w:rFonts w:asciiTheme="majorBidi" w:hAnsiTheme="majorBidi" w:cstheme="majorBidi"/>
                <w:bCs/>
                <w:i/>
                <w:iCs/>
                <w:sz w:val="22"/>
                <w:szCs w:val="22"/>
                <w:lang w:val="es-ES"/>
              </w:rPr>
              <w:t>).</w:t>
            </w:r>
          </w:p>
          <w:p w14:paraId="2591FF61" w14:textId="6A5DCF6D" w:rsidR="00967792" w:rsidRPr="00357C6C" w:rsidRDefault="00967792" w:rsidP="00B53355">
            <w:pPr>
              <w:pStyle w:val="Default"/>
              <w:spacing w:before="40" w:after="40"/>
              <w:rPr>
                <w:rFonts w:asciiTheme="majorBidi" w:hAnsiTheme="majorBidi" w:cstheme="majorBidi"/>
                <w:b/>
                <w:bCs/>
                <w:sz w:val="22"/>
                <w:szCs w:val="22"/>
                <w:lang w:val="es-ES"/>
              </w:rPr>
            </w:pPr>
            <w:r w:rsidRPr="00357C6C">
              <w:rPr>
                <w:rFonts w:asciiTheme="majorBidi" w:hAnsiTheme="majorBidi" w:cstheme="majorBidi"/>
                <w:b/>
                <w:bCs/>
                <w:sz w:val="22"/>
                <w:szCs w:val="22"/>
                <w:lang w:val="es-ES"/>
              </w:rPr>
              <w:t>3.2.6.4</w:t>
            </w:r>
            <w:r w:rsidRPr="00357C6C">
              <w:rPr>
                <w:rFonts w:asciiTheme="majorBidi" w:hAnsiTheme="majorBidi" w:cstheme="majorBidi"/>
                <w:b/>
                <w:bCs/>
                <w:sz w:val="22"/>
                <w:szCs w:val="22"/>
                <w:lang w:val="es-ES"/>
              </w:rPr>
              <w:tab/>
              <w:t>Acuerdo otorgado en virtud del § 4.1.11 de los Apéndices 30 y 30A del RR</w:t>
            </w:r>
            <w:bookmarkEnd w:id="12"/>
          </w:p>
          <w:p w14:paraId="6CFEE867" w14:textId="77777777" w:rsidR="00967792" w:rsidRPr="00357C6C" w:rsidRDefault="00967792" w:rsidP="00B53355">
            <w:pPr>
              <w:pStyle w:val="Default"/>
              <w:spacing w:before="40" w:after="40"/>
              <w:rPr>
                <w:rFonts w:asciiTheme="majorBidi" w:hAnsiTheme="majorBidi" w:cstheme="majorBidi"/>
                <w:bCs/>
                <w:sz w:val="22"/>
                <w:szCs w:val="22"/>
                <w:lang w:val="es-ES"/>
              </w:rPr>
            </w:pPr>
            <w:r w:rsidRPr="00357C6C">
              <w:rPr>
                <w:rFonts w:asciiTheme="majorBidi" w:hAnsiTheme="majorBidi" w:cstheme="majorBidi"/>
                <w:b/>
                <w:bCs/>
                <w:sz w:val="22"/>
                <w:szCs w:val="22"/>
                <w:lang w:val="es-ES"/>
              </w:rPr>
              <w:lastRenderedPageBreak/>
              <w:t>La CMR-15 ratificó</w:t>
            </w:r>
            <w:r w:rsidRPr="00357C6C">
              <w:rPr>
                <w:rFonts w:asciiTheme="majorBidi" w:hAnsiTheme="majorBidi" w:cstheme="majorBidi"/>
                <w:bCs/>
                <w:sz w:val="22"/>
                <w:szCs w:val="22"/>
                <w:lang w:val="es-ES"/>
              </w:rPr>
              <w:t xml:space="preserve"> la práctica actual de la BR descrita a grandes rasgos en esta sección.</w:t>
            </w:r>
          </w:p>
          <w:p w14:paraId="098D4A07" w14:textId="673C5BAD" w:rsidR="00967792" w:rsidRPr="00357C6C" w:rsidRDefault="00967792" w:rsidP="00B53355">
            <w:pPr>
              <w:pStyle w:val="Default"/>
              <w:spacing w:before="40" w:after="40"/>
              <w:rPr>
                <w:rFonts w:asciiTheme="majorBidi" w:hAnsiTheme="majorBidi" w:cstheme="majorBidi"/>
                <w:bCs/>
                <w:i/>
                <w:iCs/>
                <w:sz w:val="22"/>
                <w:szCs w:val="22"/>
                <w:lang w:val="es-ES"/>
              </w:rPr>
            </w:pPr>
            <w:r w:rsidRPr="00357C6C">
              <w:rPr>
                <w:rFonts w:asciiTheme="majorBidi" w:hAnsiTheme="majorBidi" w:cstheme="majorBidi"/>
                <w:bCs/>
                <w:i/>
                <w:iCs/>
                <w:sz w:val="22"/>
                <w:szCs w:val="22"/>
                <w:lang w:val="es-ES"/>
              </w:rPr>
              <w:t xml:space="preserve">La Junta decide incluir la decisión siguiente como nota en la Regla de Procedimiento correspondiente al Apéndice </w:t>
            </w:r>
            <w:r w:rsidRPr="00357C6C">
              <w:rPr>
                <w:rFonts w:asciiTheme="majorBidi" w:hAnsiTheme="majorBidi" w:cstheme="majorBidi"/>
                <w:b/>
                <w:i/>
                <w:iCs/>
                <w:sz w:val="22"/>
                <w:szCs w:val="22"/>
                <w:lang w:val="es-ES"/>
              </w:rPr>
              <w:t>30A, Artículo</w:t>
            </w:r>
            <w:r w:rsidR="00D31839">
              <w:rPr>
                <w:rFonts w:asciiTheme="majorBidi" w:hAnsiTheme="majorBidi" w:cstheme="majorBidi"/>
                <w:b/>
                <w:i/>
                <w:iCs/>
                <w:sz w:val="22"/>
                <w:szCs w:val="22"/>
                <w:lang w:val="es-ES"/>
              </w:rPr>
              <w:t> </w:t>
            </w:r>
            <w:r w:rsidRPr="00357C6C">
              <w:rPr>
                <w:rFonts w:asciiTheme="majorBidi" w:hAnsiTheme="majorBidi" w:cstheme="majorBidi"/>
                <w:b/>
                <w:i/>
                <w:iCs/>
                <w:sz w:val="22"/>
                <w:szCs w:val="22"/>
                <w:lang w:val="es-ES"/>
              </w:rPr>
              <w:t>2A.1.2,</w:t>
            </w:r>
            <w:r w:rsidRPr="00357C6C">
              <w:rPr>
                <w:rFonts w:asciiTheme="majorBidi" w:hAnsiTheme="majorBidi" w:cstheme="majorBidi"/>
                <w:bCs/>
                <w:i/>
                <w:iCs/>
                <w:sz w:val="22"/>
                <w:szCs w:val="22"/>
                <w:lang w:val="es-ES"/>
              </w:rPr>
              <w:t xml:space="preserve"> del RR en su 73ª reunión (</w:t>
            </w:r>
            <w:hyperlink r:id="rId193" w:history="1">
              <w:r w:rsidR="00D31839" w:rsidRPr="00357C6C">
                <w:rPr>
                  <w:rStyle w:val="Hyperlink"/>
                  <w:rFonts w:asciiTheme="majorBidi" w:hAnsiTheme="majorBidi" w:cstheme="majorBidi"/>
                  <w:bCs/>
                  <w:i/>
                  <w:iCs/>
                  <w:sz w:val="22"/>
                  <w:szCs w:val="22"/>
                  <w:lang w:val="es-ES"/>
                </w:rPr>
                <w:t>CR/412</w:t>
              </w:r>
            </w:hyperlink>
            <w:r w:rsidRPr="00357C6C">
              <w:rPr>
                <w:rFonts w:asciiTheme="majorBidi" w:hAnsiTheme="majorBidi" w:cstheme="majorBidi"/>
                <w:bCs/>
                <w:i/>
                <w:iCs/>
                <w:sz w:val="22"/>
                <w:szCs w:val="22"/>
                <w:lang w:val="es-ES"/>
              </w:rPr>
              <w:t>).</w:t>
            </w:r>
          </w:p>
          <w:p w14:paraId="0039FEB0" w14:textId="2A08692E" w:rsidR="00967792" w:rsidRPr="00357C6C" w:rsidRDefault="00967792" w:rsidP="009B6AB9">
            <w:pPr>
              <w:pStyle w:val="Default"/>
              <w:tabs>
                <w:tab w:val="left" w:pos="1003"/>
              </w:tabs>
              <w:spacing w:before="40" w:after="40"/>
              <w:rPr>
                <w:rFonts w:asciiTheme="majorBidi" w:hAnsiTheme="majorBidi" w:cstheme="majorBidi"/>
                <w:b/>
                <w:bCs/>
                <w:sz w:val="22"/>
                <w:szCs w:val="22"/>
                <w:lang w:val="es-ES"/>
              </w:rPr>
            </w:pPr>
            <w:r w:rsidRPr="00357C6C">
              <w:rPr>
                <w:rFonts w:asciiTheme="majorBidi" w:hAnsiTheme="majorBidi" w:cstheme="majorBidi"/>
                <w:b/>
                <w:bCs/>
                <w:sz w:val="22"/>
                <w:szCs w:val="22"/>
                <w:lang w:val="es-ES"/>
              </w:rPr>
              <w:t>3.2.6.10</w:t>
            </w:r>
            <w:r w:rsidR="00D31839">
              <w:rPr>
                <w:rFonts w:asciiTheme="majorBidi" w:hAnsiTheme="majorBidi" w:cstheme="majorBidi"/>
                <w:b/>
                <w:bCs/>
                <w:sz w:val="22"/>
                <w:szCs w:val="22"/>
                <w:lang w:val="es-ES"/>
              </w:rPr>
              <w:tab/>
            </w:r>
            <w:r w:rsidRPr="00357C6C">
              <w:rPr>
                <w:rFonts w:asciiTheme="majorBidi" w:hAnsiTheme="majorBidi" w:cstheme="majorBidi"/>
                <w:b/>
                <w:bCs/>
                <w:sz w:val="22"/>
                <w:szCs w:val="22"/>
                <w:lang w:val="es-ES"/>
              </w:rPr>
              <w:t>Criterios de coordinación en virtud del § 9.7 para una nueva red de satélites de conformidad con el Artículo 2A (Funciones de operaciones espaciales) en la banda de frecuencias 14,5-14,8 GHz</w:t>
            </w:r>
          </w:p>
          <w:p w14:paraId="4BEC66FA" w14:textId="77777777" w:rsidR="00967792" w:rsidRPr="00357C6C" w:rsidRDefault="00967792" w:rsidP="00B53355">
            <w:pPr>
              <w:pStyle w:val="Default"/>
              <w:spacing w:before="40" w:after="40"/>
              <w:rPr>
                <w:rFonts w:asciiTheme="majorBidi" w:hAnsiTheme="majorBidi" w:cstheme="majorBidi"/>
                <w:bCs/>
                <w:sz w:val="22"/>
                <w:szCs w:val="22"/>
                <w:lang w:val="es-ES"/>
              </w:rPr>
            </w:pPr>
            <w:r w:rsidRPr="00357C6C">
              <w:rPr>
                <w:rFonts w:asciiTheme="majorBidi" w:hAnsiTheme="majorBidi" w:cstheme="majorBidi"/>
                <w:b/>
                <w:bCs/>
                <w:sz w:val="22"/>
                <w:szCs w:val="22"/>
                <w:lang w:val="es-ES"/>
              </w:rPr>
              <w:t>La CMR-15 consideró</w:t>
            </w:r>
            <w:r w:rsidRPr="00357C6C">
              <w:rPr>
                <w:rFonts w:asciiTheme="majorBidi" w:hAnsiTheme="majorBidi" w:cstheme="majorBidi"/>
                <w:bCs/>
                <w:sz w:val="22"/>
                <w:szCs w:val="22"/>
                <w:lang w:val="es-ES"/>
              </w:rPr>
              <w:t xml:space="preserve"> que hay que aplicar un arco de coordinación de ±7° para 14,5-14,8 GHz (que debe alinearse con la banda Ku del punto 9.1.2 del orden del día).</w:t>
            </w:r>
          </w:p>
          <w:p w14:paraId="473751C6" w14:textId="77777777" w:rsidR="00967792" w:rsidRPr="00357C6C" w:rsidRDefault="00967792" w:rsidP="00B53355">
            <w:pPr>
              <w:pStyle w:val="Default"/>
              <w:spacing w:before="40" w:after="40"/>
              <w:rPr>
                <w:rFonts w:asciiTheme="majorBidi" w:hAnsiTheme="majorBidi" w:cstheme="majorBidi"/>
                <w:bCs/>
                <w:sz w:val="22"/>
                <w:szCs w:val="22"/>
                <w:lang w:val="es-ES"/>
              </w:rPr>
            </w:pPr>
            <w:r w:rsidRPr="00357C6C">
              <w:rPr>
                <w:rFonts w:asciiTheme="majorBidi" w:hAnsiTheme="majorBidi" w:cstheme="majorBidi"/>
                <w:b/>
                <w:bCs/>
                <w:sz w:val="22"/>
                <w:szCs w:val="22"/>
                <w:lang w:val="es-ES"/>
              </w:rPr>
              <w:t>Nota de la Secretaría</w:t>
            </w:r>
            <w:r w:rsidRPr="00357C6C">
              <w:rPr>
                <w:rFonts w:asciiTheme="majorBidi" w:hAnsiTheme="majorBidi" w:cstheme="majorBidi"/>
                <w:bCs/>
                <w:sz w:val="22"/>
                <w:szCs w:val="22"/>
                <w:lang w:val="es-ES"/>
              </w:rPr>
              <w:t>: dado que la CMR-15 decidió modificar el Apéndice 5 del Reglamento de Radiocomunicaciones para aplicar un arco de coordinación de ±6° para «el SFS no sujeto a un Plan y cualesquiera operaciones espaciales asociadas» en esta banda, la adaptación solicitada por la Plenaria se llevará a cabo aplicando también en este caso el valor de ±6°.</w:t>
            </w:r>
          </w:p>
          <w:p w14:paraId="3048EFB3" w14:textId="4D337EA4" w:rsidR="00967792" w:rsidRPr="00357C6C" w:rsidRDefault="00967792" w:rsidP="00B53355">
            <w:pPr>
              <w:pStyle w:val="Default"/>
              <w:spacing w:before="40" w:after="40"/>
              <w:rPr>
                <w:rFonts w:asciiTheme="majorBidi" w:hAnsiTheme="majorBidi" w:cstheme="majorBidi"/>
                <w:bCs/>
                <w:i/>
                <w:iCs/>
                <w:sz w:val="22"/>
                <w:szCs w:val="22"/>
                <w:lang w:val="es-ES"/>
              </w:rPr>
            </w:pPr>
            <w:r w:rsidRPr="00357C6C">
              <w:rPr>
                <w:rFonts w:asciiTheme="majorBidi" w:hAnsiTheme="majorBidi" w:cstheme="majorBidi"/>
                <w:bCs/>
                <w:i/>
                <w:iCs/>
                <w:sz w:val="22"/>
                <w:szCs w:val="22"/>
                <w:lang w:val="es-ES"/>
              </w:rPr>
              <w:t xml:space="preserve">La Junta decide incluir la decisión siguiente como nota en la Regla de Procedimiento correspondiente al Apéndice </w:t>
            </w:r>
            <w:r w:rsidRPr="00357C6C">
              <w:rPr>
                <w:rFonts w:asciiTheme="majorBidi" w:hAnsiTheme="majorBidi" w:cstheme="majorBidi"/>
                <w:b/>
                <w:i/>
                <w:iCs/>
                <w:sz w:val="22"/>
                <w:szCs w:val="22"/>
                <w:lang w:val="es-ES"/>
              </w:rPr>
              <w:t>30A</w:t>
            </w:r>
            <w:r w:rsidRPr="00357C6C">
              <w:rPr>
                <w:rFonts w:asciiTheme="majorBidi" w:hAnsiTheme="majorBidi" w:cstheme="majorBidi"/>
                <w:bCs/>
                <w:i/>
                <w:iCs/>
                <w:sz w:val="22"/>
                <w:szCs w:val="22"/>
                <w:lang w:val="es-ES"/>
              </w:rPr>
              <w:t>, Anexo 4, del RR en su 73ª reunión (</w:t>
            </w:r>
            <w:hyperlink r:id="rId194" w:history="1">
              <w:r w:rsidR="00D31839" w:rsidRPr="00357C6C">
                <w:rPr>
                  <w:rStyle w:val="Hyperlink"/>
                  <w:rFonts w:asciiTheme="majorBidi" w:hAnsiTheme="majorBidi" w:cstheme="majorBidi"/>
                  <w:bCs/>
                  <w:i/>
                  <w:iCs/>
                  <w:sz w:val="22"/>
                  <w:szCs w:val="22"/>
                  <w:lang w:val="es-ES"/>
                </w:rPr>
                <w:t>CR/412</w:t>
              </w:r>
            </w:hyperlink>
            <w:r w:rsidRPr="00357C6C">
              <w:rPr>
                <w:rFonts w:asciiTheme="majorBidi" w:hAnsiTheme="majorBidi" w:cstheme="majorBidi"/>
                <w:bCs/>
                <w:i/>
                <w:iCs/>
                <w:sz w:val="22"/>
                <w:szCs w:val="22"/>
                <w:lang w:val="es-ES"/>
              </w:rPr>
              <w:t>).</w:t>
            </w:r>
          </w:p>
          <w:p w14:paraId="6B0AA508" w14:textId="65252DF9" w:rsidR="00967792" w:rsidRPr="00357C6C" w:rsidRDefault="00967792" w:rsidP="009B6AB9">
            <w:pPr>
              <w:pStyle w:val="Default"/>
              <w:tabs>
                <w:tab w:val="left" w:pos="1003"/>
              </w:tabs>
              <w:spacing w:before="40" w:after="40"/>
              <w:rPr>
                <w:rFonts w:asciiTheme="majorBidi" w:hAnsiTheme="majorBidi" w:cstheme="majorBidi"/>
                <w:bCs/>
                <w:sz w:val="22"/>
                <w:szCs w:val="22"/>
                <w:lang w:val="es-ES"/>
              </w:rPr>
            </w:pPr>
            <w:r w:rsidRPr="00357C6C">
              <w:rPr>
                <w:rFonts w:asciiTheme="majorBidi" w:hAnsiTheme="majorBidi" w:cstheme="majorBidi"/>
                <w:b/>
                <w:bCs/>
                <w:sz w:val="22"/>
                <w:szCs w:val="22"/>
                <w:lang w:val="es-ES"/>
              </w:rPr>
              <w:t>3.2.6.11</w:t>
            </w:r>
            <w:r w:rsidRPr="00357C6C">
              <w:rPr>
                <w:rFonts w:asciiTheme="majorBidi" w:hAnsiTheme="majorBidi" w:cstheme="majorBidi"/>
                <w:b/>
                <w:bCs/>
                <w:sz w:val="22"/>
                <w:szCs w:val="22"/>
                <w:lang w:val="es-ES"/>
              </w:rPr>
              <w:tab/>
              <w:t xml:space="preserve">Densidad de potencia utilizada para el cálculo de </w:t>
            </w:r>
            <w:r w:rsidRPr="00357C6C">
              <w:rPr>
                <w:rFonts w:asciiTheme="majorBidi" w:hAnsiTheme="majorBidi" w:cstheme="majorBidi"/>
                <w:b/>
                <w:bCs/>
                <w:i/>
                <w:iCs/>
                <w:sz w:val="22"/>
                <w:szCs w:val="22"/>
                <w:lang w:val="es-ES"/>
              </w:rPr>
              <w:t>ΔT/T</w:t>
            </w:r>
            <w:r w:rsidRPr="00357C6C">
              <w:rPr>
                <w:rFonts w:asciiTheme="majorBidi" w:hAnsiTheme="majorBidi" w:cstheme="majorBidi"/>
                <w:b/>
                <w:bCs/>
                <w:sz w:val="22"/>
                <w:szCs w:val="22"/>
                <w:lang w:val="es-ES"/>
              </w:rPr>
              <w:t xml:space="preserve"> en virtud del §</w:t>
            </w:r>
            <w:r w:rsidR="002D0088">
              <w:rPr>
                <w:rFonts w:asciiTheme="majorBidi" w:hAnsiTheme="majorBidi" w:cstheme="majorBidi"/>
                <w:b/>
                <w:bCs/>
                <w:sz w:val="22"/>
                <w:szCs w:val="22"/>
                <w:lang w:val="es-ES"/>
              </w:rPr>
              <w:t> </w:t>
            </w:r>
            <w:r w:rsidRPr="00357C6C">
              <w:rPr>
                <w:rFonts w:asciiTheme="majorBidi" w:hAnsiTheme="majorBidi" w:cstheme="majorBidi"/>
                <w:b/>
                <w:bCs/>
                <w:sz w:val="22"/>
                <w:szCs w:val="22"/>
                <w:lang w:val="es-ES"/>
              </w:rPr>
              <w:t>2 del Anexo 4 al Apéndice 30A del RR</w:t>
            </w:r>
          </w:p>
          <w:p w14:paraId="126A0923" w14:textId="77777777" w:rsidR="00967792" w:rsidRPr="00357C6C" w:rsidRDefault="00967792" w:rsidP="00B53355">
            <w:pPr>
              <w:pStyle w:val="Default"/>
              <w:spacing w:before="40" w:after="40"/>
              <w:rPr>
                <w:rFonts w:asciiTheme="majorBidi" w:hAnsiTheme="majorBidi" w:cstheme="majorBidi"/>
                <w:bCs/>
                <w:sz w:val="22"/>
                <w:szCs w:val="22"/>
                <w:lang w:val="es-ES"/>
              </w:rPr>
            </w:pPr>
            <w:r w:rsidRPr="00357C6C">
              <w:rPr>
                <w:rFonts w:asciiTheme="majorBidi" w:hAnsiTheme="majorBidi" w:cstheme="majorBidi"/>
                <w:b/>
                <w:bCs/>
                <w:sz w:val="22"/>
                <w:szCs w:val="22"/>
                <w:lang w:val="es-ES"/>
              </w:rPr>
              <w:t>La CMR-15 examinó y confirmó</w:t>
            </w:r>
            <w:r w:rsidRPr="00357C6C">
              <w:rPr>
                <w:rFonts w:asciiTheme="majorBidi" w:hAnsiTheme="majorBidi" w:cstheme="majorBidi"/>
                <w:bCs/>
                <w:sz w:val="22"/>
                <w:szCs w:val="22"/>
                <w:lang w:val="es-ES"/>
              </w:rPr>
              <w:t xml:space="preserve"> la solución presentada en esta sección.</w:t>
            </w:r>
          </w:p>
          <w:p w14:paraId="08ED467B" w14:textId="77777777" w:rsidR="00967792" w:rsidRPr="00357C6C" w:rsidRDefault="00967792" w:rsidP="00B53355">
            <w:pPr>
              <w:pStyle w:val="Default"/>
              <w:spacing w:before="40" w:after="40"/>
              <w:rPr>
                <w:rFonts w:asciiTheme="majorBidi" w:hAnsiTheme="majorBidi" w:cstheme="majorBidi"/>
                <w:b/>
                <w:bCs/>
                <w:sz w:val="22"/>
                <w:szCs w:val="22"/>
                <w:lang w:val="es-ES"/>
              </w:rPr>
            </w:pPr>
            <w:r w:rsidRPr="00357C6C">
              <w:rPr>
                <w:rFonts w:asciiTheme="majorBidi" w:hAnsiTheme="majorBidi" w:cstheme="majorBidi"/>
                <w:b/>
                <w:bCs/>
                <w:sz w:val="22"/>
                <w:szCs w:val="22"/>
                <w:lang w:val="es-ES"/>
              </w:rPr>
              <w:lastRenderedPageBreak/>
              <w:t>3.2.7</w:t>
            </w:r>
            <w:r w:rsidRPr="00357C6C">
              <w:rPr>
                <w:rFonts w:asciiTheme="majorBidi" w:hAnsiTheme="majorBidi" w:cstheme="majorBidi"/>
                <w:b/>
                <w:bCs/>
                <w:sz w:val="22"/>
                <w:szCs w:val="22"/>
                <w:lang w:val="es-ES"/>
              </w:rPr>
              <w:tab/>
              <w:t>Observaciones relativas al Apéndice 30B del RR</w:t>
            </w:r>
          </w:p>
          <w:p w14:paraId="11B58A18" w14:textId="7998C0E0" w:rsidR="00967792" w:rsidRPr="00357C6C" w:rsidRDefault="00967792" w:rsidP="00B53355">
            <w:pPr>
              <w:pStyle w:val="Default"/>
              <w:spacing w:before="40" w:after="40"/>
              <w:rPr>
                <w:rFonts w:asciiTheme="majorBidi" w:hAnsiTheme="majorBidi" w:cstheme="majorBidi"/>
                <w:bCs/>
                <w:i/>
                <w:iCs/>
                <w:sz w:val="22"/>
                <w:szCs w:val="22"/>
                <w:lang w:val="es-ES"/>
              </w:rPr>
            </w:pPr>
            <w:r w:rsidRPr="00357C6C">
              <w:rPr>
                <w:rFonts w:asciiTheme="majorBidi" w:hAnsiTheme="majorBidi" w:cstheme="majorBidi"/>
                <w:bCs/>
                <w:i/>
                <w:iCs/>
                <w:sz w:val="22"/>
                <w:szCs w:val="22"/>
                <w:lang w:val="es-ES"/>
              </w:rPr>
              <w:t xml:space="preserve">La Junta decide incluir la decisión siguiente como nota en la Regla de Procedimiento correspondiente al Apéndice </w:t>
            </w:r>
            <w:r w:rsidRPr="00357C6C">
              <w:rPr>
                <w:rFonts w:asciiTheme="majorBidi" w:hAnsiTheme="majorBidi" w:cstheme="majorBidi"/>
                <w:b/>
                <w:i/>
                <w:iCs/>
                <w:sz w:val="22"/>
                <w:szCs w:val="22"/>
                <w:lang w:val="es-ES"/>
              </w:rPr>
              <w:t>30B</w:t>
            </w:r>
            <w:r w:rsidRPr="00357C6C">
              <w:rPr>
                <w:rFonts w:asciiTheme="majorBidi" w:hAnsiTheme="majorBidi" w:cstheme="majorBidi"/>
                <w:bCs/>
                <w:i/>
                <w:iCs/>
                <w:sz w:val="22"/>
                <w:szCs w:val="22"/>
                <w:lang w:val="es-ES"/>
              </w:rPr>
              <w:t>, Artículos</w:t>
            </w:r>
            <w:r w:rsidR="00D31839">
              <w:rPr>
                <w:rFonts w:asciiTheme="majorBidi" w:hAnsiTheme="majorBidi" w:cstheme="majorBidi"/>
                <w:bCs/>
                <w:i/>
                <w:iCs/>
                <w:sz w:val="22"/>
                <w:szCs w:val="22"/>
                <w:lang w:val="es-ES"/>
              </w:rPr>
              <w:t> </w:t>
            </w:r>
            <w:r w:rsidRPr="00357C6C">
              <w:rPr>
                <w:rFonts w:asciiTheme="majorBidi" w:hAnsiTheme="majorBidi" w:cstheme="majorBidi"/>
                <w:bCs/>
                <w:i/>
                <w:iCs/>
                <w:sz w:val="22"/>
                <w:szCs w:val="22"/>
                <w:lang w:val="es-ES"/>
              </w:rPr>
              <w:t>6.25 a 6.29, del RR en su 73ª reunión (</w:t>
            </w:r>
            <w:hyperlink r:id="rId195" w:history="1">
              <w:r w:rsidR="00D31839" w:rsidRPr="00357C6C">
                <w:rPr>
                  <w:rStyle w:val="Hyperlink"/>
                  <w:rFonts w:asciiTheme="majorBidi" w:hAnsiTheme="majorBidi" w:cstheme="majorBidi"/>
                  <w:bCs/>
                  <w:i/>
                  <w:iCs/>
                  <w:sz w:val="22"/>
                  <w:szCs w:val="22"/>
                  <w:lang w:val="es-ES"/>
                </w:rPr>
                <w:t>CR/412</w:t>
              </w:r>
            </w:hyperlink>
            <w:r w:rsidRPr="00357C6C">
              <w:rPr>
                <w:rFonts w:asciiTheme="majorBidi" w:hAnsiTheme="majorBidi" w:cstheme="majorBidi"/>
                <w:bCs/>
                <w:i/>
                <w:iCs/>
                <w:sz w:val="22"/>
                <w:szCs w:val="22"/>
                <w:lang w:val="es-ES"/>
              </w:rPr>
              <w:t>).</w:t>
            </w:r>
          </w:p>
          <w:p w14:paraId="402080EC" w14:textId="77777777" w:rsidR="00967792" w:rsidRPr="00357C6C" w:rsidRDefault="00967792" w:rsidP="00B53355">
            <w:pPr>
              <w:pStyle w:val="Default"/>
              <w:spacing w:before="40" w:after="40"/>
              <w:rPr>
                <w:rFonts w:asciiTheme="majorBidi" w:hAnsiTheme="majorBidi" w:cstheme="majorBidi"/>
                <w:b/>
                <w:bCs/>
                <w:sz w:val="22"/>
                <w:szCs w:val="22"/>
                <w:lang w:val="es-ES"/>
              </w:rPr>
            </w:pPr>
            <w:r w:rsidRPr="00357C6C">
              <w:rPr>
                <w:rFonts w:asciiTheme="majorBidi" w:hAnsiTheme="majorBidi" w:cstheme="majorBidi"/>
                <w:b/>
                <w:bCs/>
                <w:sz w:val="22"/>
                <w:szCs w:val="22"/>
                <w:lang w:val="es-ES"/>
              </w:rPr>
              <w:t>3.2.7.1</w:t>
            </w:r>
            <w:r w:rsidRPr="00357C6C">
              <w:rPr>
                <w:rFonts w:asciiTheme="majorBidi" w:hAnsiTheme="majorBidi" w:cstheme="majorBidi"/>
                <w:b/>
                <w:bCs/>
                <w:sz w:val="22"/>
                <w:szCs w:val="22"/>
                <w:lang w:val="es-ES"/>
              </w:rPr>
              <w:tab/>
              <w:t>Inscripción provisional de una asignación convertida</w:t>
            </w:r>
          </w:p>
          <w:p w14:paraId="39FEB3FA" w14:textId="7E918994" w:rsidR="00967792" w:rsidRPr="00357C6C" w:rsidRDefault="00967792" w:rsidP="00B53355">
            <w:pPr>
              <w:pStyle w:val="Default"/>
              <w:spacing w:before="40" w:after="40"/>
              <w:rPr>
                <w:rFonts w:asciiTheme="majorBidi" w:hAnsiTheme="majorBidi" w:cstheme="majorBidi"/>
                <w:bCs/>
                <w:i/>
                <w:iCs/>
                <w:sz w:val="22"/>
                <w:szCs w:val="22"/>
                <w:lang w:val="es-ES"/>
              </w:rPr>
            </w:pPr>
            <w:r w:rsidRPr="00357C6C">
              <w:rPr>
                <w:rFonts w:asciiTheme="majorBidi" w:hAnsiTheme="majorBidi" w:cstheme="majorBidi"/>
                <w:bCs/>
                <w:i/>
                <w:iCs/>
                <w:sz w:val="22"/>
                <w:szCs w:val="22"/>
                <w:lang w:val="es-ES"/>
              </w:rPr>
              <w:t>La Junta decide incluir la decisión siguiente como nota en la Regla de Procedimiento correspondiente al núm</w:t>
            </w:r>
            <w:r w:rsidR="00D31839">
              <w:rPr>
                <w:rFonts w:asciiTheme="majorBidi" w:hAnsiTheme="majorBidi" w:cstheme="majorBidi"/>
                <w:bCs/>
                <w:i/>
                <w:iCs/>
                <w:sz w:val="22"/>
                <w:szCs w:val="22"/>
                <w:lang w:val="es-ES"/>
              </w:rPr>
              <w:t>ero</w:t>
            </w:r>
            <w:r w:rsidRPr="00357C6C">
              <w:rPr>
                <w:rFonts w:asciiTheme="majorBidi" w:hAnsiTheme="majorBidi" w:cstheme="majorBidi"/>
                <w:bCs/>
                <w:i/>
                <w:iCs/>
                <w:sz w:val="22"/>
                <w:szCs w:val="22"/>
                <w:lang w:val="es-ES"/>
              </w:rPr>
              <w:t xml:space="preserve"> </w:t>
            </w:r>
            <w:r w:rsidRPr="00357C6C">
              <w:rPr>
                <w:rFonts w:asciiTheme="majorBidi" w:hAnsiTheme="majorBidi" w:cstheme="majorBidi"/>
                <w:b/>
                <w:i/>
                <w:iCs/>
                <w:sz w:val="22"/>
                <w:szCs w:val="22"/>
                <w:lang w:val="es-ES"/>
              </w:rPr>
              <w:t>13.6</w:t>
            </w:r>
            <w:r w:rsidRPr="00357C6C">
              <w:rPr>
                <w:rFonts w:asciiTheme="majorBidi" w:hAnsiTheme="majorBidi" w:cstheme="majorBidi"/>
                <w:bCs/>
                <w:i/>
                <w:iCs/>
                <w:sz w:val="22"/>
                <w:szCs w:val="22"/>
                <w:lang w:val="es-ES"/>
              </w:rPr>
              <w:t xml:space="preserve"> del RR, en su 73ª reunión (</w:t>
            </w:r>
            <w:hyperlink r:id="rId196" w:history="1">
              <w:r w:rsidR="00D31839" w:rsidRPr="00357C6C">
                <w:rPr>
                  <w:rStyle w:val="Hyperlink"/>
                  <w:rFonts w:asciiTheme="majorBidi" w:hAnsiTheme="majorBidi" w:cstheme="majorBidi"/>
                  <w:bCs/>
                  <w:i/>
                  <w:iCs/>
                  <w:sz w:val="22"/>
                  <w:szCs w:val="22"/>
                  <w:lang w:val="es-ES"/>
                </w:rPr>
                <w:t>CR/412</w:t>
              </w:r>
            </w:hyperlink>
            <w:r w:rsidRPr="00357C6C">
              <w:rPr>
                <w:rFonts w:asciiTheme="majorBidi" w:hAnsiTheme="majorBidi" w:cstheme="majorBidi"/>
                <w:bCs/>
                <w:i/>
                <w:iCs/>
                <w:sz w:val="22"/>
                <w:szCs w:val="22"/>
                <w:lang w:val="es-ES"/>
              </w:rPr>
              <w:t>).</w:t>
            </w:r>
          </w:p>
          <w:p w14:paraId="14D35B8B" w14:textId="77777777" w:rsidR="00967792" w:rsidRPr="00357C6C" w:rsidRDefault="00967792" w:rsidP="00B53355">
            <w:pPr>
              <w:pStyle w:val="Default"/>
              <w:spacing w:before="40" w:after="40"/>
              <w:rPr>
                <w:rFonts w:asciiTheme="majorBidi" w:hAnsiTheme="majorBidi" w:cstheme="majorBidi"/>
                <w:bCs/>
                <w:sz w:val="22"/>
                <w:szCs w:val="22"/>
                <w:lang w:val="es-ES"/>
              </w:rPr>
            </w:pPr>
            <w:r w:rsidRPr="00357C6C">
              <w:rPr>
                <w:rFonts w:asciiTheme="majorBidi" w:hAnsiTheme="majorBidi" w:cstheme="majorBidi"/>
                <w:b/>
                <w:bCs/>
                <w:sz w:val="22"/>
                <w:szCs w:val="22"/>
                <w:lang w:val="es-ES"/>
              </w:rPr>
              <w:t>La CMR-15 examinó y confirmó</w:t>
            </w:r>
            <w:r w:rsidRPr="00357C6C">
              <w:rPr>
                <w:rFonts w:asciiTheme="majorBidi" w:hAnsiTheme="majorBidi" w:cstheme="majorBidi"/>
                <w:bCs/>
                <w:sz w:val="22"/>
                <w:szCs w:val="22"/>
                <w:lang w:val="es-ES"/>
              </w:rPr>
              <w:t xml:space="preserve"> las medidas presentadas en esta sección.</w:t>
            </w:r>
          </w:p>
          <w:p w14:paraId="0B6B9FD1" w14:textId="77777777" w:rsidR="00967792" w:rsidRPr="00357C6C" w:rsidRDefault="00967792" w:rsidP="009B6AB9">
            <w:pPr>
              <w:pStyle w:val="Default"/>
              <w:tabs>
                <w:tab w:val="left" w:pos="1003"/>
              </w:tabs>
              <w:spacing w:before="40" w:after="40"/>
              <w:rPr>
                <w:rFonts w:asciiTheme="majorBidi" w:hAnsiTheme="majorBidi" w:cstheme="majorBidi"/>
                <w:bCs/>
                <w:sz w:val="22"/>
                <w:szCs w:val="22"/>
                <w:lang w:val="es-ES"/>
              </w:rPr>
            </w:pPr>
            <w:r w:rsidRPr="00357C6C">
              <w:rPr>
                <w:rFonts w:asciiTheme="majorBidi" w:hAnsiTheme="majorBidi" w:cstheme="majorBidi"/>
                <w:b/>
                <w:bCs/>
                <w:sz w:val="22"/>
                <w:szCs w:val="22"/>
                <w:lang w:val="es-ES"/>
              </w:rPr>
              <w:t>Add1 §6</w:t>
            </w:r>
            <w:r w:rsidRPr="00357C6C">
              <w:rPr>
                <w:rFonts w:asciiTheme="majorBidi" w:hAnsiTheme="majorBidi" w:cstheme="majorBidi"/>
                <w:b/>
                <w:bCs/>
                <w:sz w:val="22"/>
                <w:szCs w:val="22"/>
                <w:lang w:val="es-ES"/>
              </w:rPr>
              <w:tab/>
              <w:t>Número 13.6 del Reglamento de Radiocomunicaciones</w:t>
            </w:r>
          </w:p>
          <w:p w14:paraId="2531E9BF" w14:textId="4660CC4E" w:rsidR="00967792" w:rsidRPr="00D2027A" w:rsidDel="009440F5" w:rsidRDefault="00967792" w:rsidP="00B53355">
            <w:pPr>
              <w:pStyle w:val="Tabletext"/>
              <w:rPr>
                <w:rFonts w:asciiTheme="majorBidi" w:hAnsiTheme="majorBidi" w:cstheme="majorBidi"/>
                <w:szCs w:val="24"/>
                <w:lang w:val="es-ES"/>
              </w:rPr>
            </w:pPr>
            <w:r w:rsidRPr="00357C6C">
              <w:rPr>
                <w:rFonts w:asciiTheme="majorBidi" w:hAnsiTheme="majorBidi" w:cstheme="majorBidi"/>
                <w:bCs/>
                <w:lang w:val="es-ES"/>
              </w:rPr>
              <w:t>Esta sección del informe planteaba la cuestión de si una evidencia parcial proporcionada por una administración para apoyar la utilización de asignaciones de frecuencia en una banda de frecuencias puede considerarse suficiente, en respuesta a una consulta en virtud del número</w:t>
            </w:r>
            <w:r w:rsidR="00D31839">
              <w:rPr>
                <w:rFonts w:asciiTheme="majorBidi" w:hAnsiTheme="majorBidi" w:cstheme="majorBidi"/>
                <w:bCs/>
                <w:lang w:val="es-ES"/>
              </w:rPr>
              <w:t> </w:t>
            </w:r>
            <w:r w:rsidRPr="00D31839">
              <w:rPr>
                <w:rFonts w:asciiTheme="majorBidi" w:hAnsiTheme="majorBidi" w:cstheme="majorBidi"/>
                <w:b/>
                <w:lang w:val="es-ES"/>
              </w:rPr>
              <w:t>13.6</w:t>
            </w:r>
            <w:r w:rsidRPr="00357C6C">
              <w:rPr>
                <w:rFonts w:asciiTheme="majorBidi" w:hAnsiTheme="majorBidi" w:cstheme="majorBidi"/>
                <w:bCs/>
                <w:lang w:val="es-ES"/>
              </w:rPr>
              <w:t xml:space="preserve"> del RR, para demostrar que se utilizan las asignaciones de frecuencia, o que se siguen utilizando, de conformidad con las características notificadas inscritas en el Registro Internacional de Frecuencias. Al examinar esta cuestión, </w:t>
            </w:r>
            <w:r w:rsidRPr="00357C6C">
              <w:rPr>
                <w:rFonts w:asciiTheme="majorBidi" w:hAnsiTheme="majorBidi" w:cstheme="majorBidi"/>
                <w:b/>
                <w:bCs/>
                <w:lang w:val="es-ES"/>
              </w:rPr>
              <w:t>la CMR-15 consideró</w:t>
            </w:r>
            <w:r w:rsidRPr="00357C6C">
              <w:rPr>
                <w:rFonts w:asciiTheme="majorBidi" w:hAnsiTheme="majorBidi" w:cstheme="majorBidi"/>
                <w:bCs/>
                <w:lang w:val="es-ES"/>
              </w:rPr>
              <w:t xml:space="preserve"> que era necesario que las administraciones respondieran de la forma más completa posible a las consultas en virtud del número </w:t>
            </w:r>
            <w:r w:rsidRPr="00D31839">
              <w:rPr>
                <w:rFonts w:asciiTheme="majorBidi" w:hAnsiTheme="majorBidi" w:cstheme="majorBidi"/>
                <w:b/>
                <w:lang w:val="es-ES"/>
              </w:rPr>
              <w:t>13.6</w:t>
            </w:r>
            <w:r w:rsidRPr="00357C6C">
              <w:rPr>
                <w:rFonts w:asciiTheme="majorBidi" w:hAnsiTheme="majorBidi" w:cstheme="majorBidi"/>
                <w:bCs/>
                <w:lang w:val="es-ES"/>
              </w:rPr>
              <w:t xml:space="preserve"> del RR. Si la Oficina recibe lo que considera ser una respuesta parcial a </w:t>
            </w:r>
            <w:r w:rsidRPr="00357C6C">
              <w:rPr>
                <w:rFonts w:asciiTheme="majorBidi" w:hAnsiTheme="majorBidi" w:cstheme="majorBidi"/>
                <w:bCs/>
                <w:lang w:val="es-ES"/>
              </w:rPr>
              <w:lastRenderedPageBreak/>
              <w:t xml:space="preserve">una consulta, se espera que la Oficina aclare aún más el alcance de su consulta a la administración o solicite información adicional o alternativa. Además, se reconoce que la CMR-15 acordó ciertas revisiones al número </w:t>
            </w:r>
            <w:r w:rsidRPr="00D31839">
              <w:rPr>
                <w:rFonts w:asciiTheme="majorBidi" w:hAnsiTheme="majorBidi" w:cstheme="majorBidi"/>
                <w:b/>
                <w:lang w:val="es-ES"/>
              </w:rPr>
              <w:t>13.6</w:t>
            </w:r>
            <w:r w:rsidRPr="00357C6C">
              <w:rPr>
                <w:rFonts w:asciiTheme="majorBidi" w:hAnsiTheme="majorBidi" w:cstheme="majorBidi"/>
                <w:bCs/>
                <w:lang w:val="es-ES"/>
              </w:rPr>
              <w:t xml:space="preserve"> del RR que tienen por objeto garantizar una mayor transparencia en la aplicación de esta disposición. Estas revisiones deben servir para ayudar a resolver esas cuestiones.</w:t>
            </w:r>
          </w:p>
        </w:tc>
      </w:tr>
      <w:tr w:rsidR="00967792" w:rsidRPr="00D2027A" w14:paraId="0FE181DF" w14:textId="77777777" w:rsidTr="00924C8B">
        <w:trPr>
          <w:jc w:val="center"/>
        </w:trPr>
        <w:tc>
          <w:tcPr>
            <w:tcW w:w="183" w:type="pct"/>
          </w:tcPr>
          <w:p w14:paraId="1CB4132E" w14:textId="52C8D5A8" w:rsidR="00967792" w:rsidRPr="00A616CA" w:rsidRDefault="00967792" w:rsidP="00B53355">
            <w:pPr>
              <w:pStyle w:val="Tabletext"/>
              <w:rPr>
                <w:lang w:val="es-ES"/>
              </w:rPr>
            </w:pPr>
            <w:r w:rsidRPr="009B6F4D">
              <w:rPr>
                <w:lang w:val="es-ES"/>
              </w:rPr>
              <w:lastRenderedPageBreak/>
              <w:t>55</w:t>
            </w:r>
          </w:p>
        </w:tc>
        <w:tc>
          <w:tcPr>
            <w:tcW w:w="434" w:type="pct"/>
          </w:tcPr>
          <w:p w14:paraId="43509EE2" w14:textId="659CE36C" w:rsidR="00967792" w:rsidRPr="00A616CA" w:rsidRDefault="00967792" w:rsidP="00B53355">
            <w:pPr>
              <w:pStyle w:val="Tabletext"/>
              <w:rPr>
                <w:lang w:val="es-ES"/>
              </w:rPr>
            </w:pPr>
            <w:r w:rsidRPr="00A616CA">
              <w:rPr>
                <w:lang w:val="es-ES"/>
              </w:rPr>
              <w:t>CMR-15</w:t>
            </w:r>
          </w:p>
        </w:tc>
        <w:tc>
          <w:tcPr>
            <w:tcW w:w="523" w:type="pct"/>
          </w:tcPr>
          <w:p w14:paraId="48CB6952" w14:textId="278F00CC" w:rsidR="00967792" w:rsidRPr="00D2027A" w:rsidRDefault="00967792" w:rsidP="00A864C4">
            <w:pPr>
              <w:pStyle w:val="Tabletext"/>
              <w:rPr>
                <w:rFonts w:asciiTheme="majorBidi" w:hAnsiTheme="majorBidi" w:cstheme="majorBidi"/>
                <w:bCs/>
                <w:szCs w:val="24"/>
                <w:lang w:val="es-ES"/>
              </w:rPr>
            </w:pPr>
            <w:r w:rsidRPr="00D2027A">
              <w:rPr>
                <w:rFonts w:asciiTheme="majorBidi" w:hAnsiTheme="majorBidi" w:cstheme="majorBidi"/>
                <w:bCs/>
                <w:szCs w:val="24"/>
                <w:lang w:val="es-ES"/>
              </w:rPr>
              <w:t>8</w:t>
            </w:r>
            <w:r w:rsidRPr="00D2027A">
              <w:rPr>
                <w:rFonts w:asciiTheme="majorBidi" w:hAnsiTheme="majorBidi" w:cstheme="majorBidi"/>
                <w:bCs/>
                <w:szCs w:val="24"/>
                <w:vertAlign w:val="superscript"/>
                <w:lang w:val="es-ES"/>
              </w:rPr>
              <w:t>ª</w:t>
            </w:r>
            <w:r w:rsidRPr="00D2027A">
              <w:rPr>
                <w:rFonts w:asciiTheme="majorBidi" w:hAnsiTheme="majorBidi" w:cstheme="majorBidi"/>
                <w:bCs/>
                <w:szCs w:val="24"/>
                <w:lang w:val="es-ES"/>
              </w:rPr>
              <w:t xml:space="preserve"> </w:t>
            </w:r>
            <w:r w:rsidRPr="00A864C4">
              <w:rPr>
                <w:lang w:val="es-ES"/>
              </w:rPr>
              <w:t>Plenaria</w:t>
            </w:r>
            <w:r w:rsidRPr="00D2027A">
              <w:rPr>
                <w:rFonts w:asciiTheme="majorBidi" w:hAnsiTheme="majorBidi" w:cstheme="majorBidi"/>
                <w:bCs/>
                <w:szCs w:val="24"/>
                <w:lang w:val="es-ES"/>
              </w:rPr>
              <w:t xml:space="preserve"> </w:t>
            </w:r>
            <w:hyperlink r:id="rId197">
              <w:r w:rsidRPr="00D2027A">
                <w:rPr>
                  <w:rStyle w:val="Hyperlink"/>
                  <w:rFonts w:asciiTheme="majorBidi" w:hAnsiTheme="majorBidi" w:cstheme="majorBidi"/>
                  <w:bCs/>
                  <w:szCs w:val="24"/>
                  <w:lang w:val="es-ES"/>
                </w:rPr>
                <w:t>Doc. CMR15/505</w:t>
              </w:r>
            </w:hyperlink>
          </w:p>
          <w:p w14:paraId="06EC0F69" w14:textId="2BB80026" w:rsidR="00967792" w:rsidRPr="00D2027A" w:rsidRDefault="00967792" w:rsidP="00A864C4">
            <w:pPr>
              <w:pStyle w:val="Tabletext"/>
              <w:rPr>
                <w:rFonts w:asciiTheme="majorBidi" w:hAnsiTheme="majorBidi" w:cstheme="majorBidi"/>
                <w:bCs/>
                <w:szCs w:val="24"/>
                <w:lang w:val="es-ES"/>
              </w:rPr>
            </w:pPr>
            <w:r w:rsidRPr="00A864C4">
              <w:rPr>
                <w:lang w:val="es-ES"/>
              </w:rPr>
              <w:t>Aprobación</w:t>
            </w:r>
            <w:r w:rsidRPr="00D2027A">
              <w:rPr>
                <w:rFonts w:asciiTheme="majorBidi" w:hAnsiTheme="majorBidi" w:cstheme="majorBidi"/>
                <w:bCs/>
                <w:szCs w:val="24"/>
                <w:lang w:val="es-ES"/>
              </w:rPr>
              <w:t xml:space="preserve"> del Documento CMR15/427</w:t>
            </w:r>
          </w:p>
        </w:tc>
        <w:tc>
          <w:tcPr>
            <w:tcW w:w="2312" w:type="pct"/>
          </w:tcPr>
          <w:p w14:paraId="29E54486" w14:textId="7A52953A" w:rsidR="00967792" w:rsidRPr="00A864C4" w:rsidRDefault="00967792" w:rsidP="00B53355">
            <w:pPr>
              <w:spacing w:before="40" w:after="40"/>
              <w:rPr>
                <w:sz w:val="22"/>
                <w:lang w:val="es-ES"/>
              </w:rPr>
            </w:pPr>
            <w:r w:rsidRPr="00A864C4">
              <w:rPr>
                <w:sz w:val="22"/>
                <w:lang w:val="es-ES"/>
              </w:rPr>
              <w:t>1.45</w:t>
            </w:r>
            <w:r w:rsidRPr="00A864C4">
              <w:rPr>
                <w:sz w:val="22"/>
                <w:lang w:val="es-ES"/>
              </w:rPr>
              <w:tab/>
            </w:r>
            <w:bookmarkStart w:id="13" w:name="lt_pId162"/>
            <w:r w:rsidRPr="00A864C4">
              <w:rPr>
                <w:sz w:val="22"/>
                <w:lang w:val="es-ES"/>
              </w:rPr>
              <w:t xml:space="preserve">El </w:t>
            </w:r>
            <w:r w:rsidRPr="00A864C4">
              <w:rPr>
                <w:b/>
                <w:bCs/>
                <w:sz w:val="22"/>
                <w:lang w:val="es-ES"/>
              </w:rPr>
              <w:t>Presidente de la Comisión 5</w:t>
            </w:r>
            <w:r w:rsidRPr="00A864C4">
              <w:rPr>
                <w:sz w:val="22"/>
                <w:lang w:val="es-ES"/>
              </w:rPr>
              <w:t xml:space="preserve"> presenta el Documento 427, que constituye el décimo informe de la Comisión 5 a la Plenaria y que sigue el estudio del Documento 110 de la Administración de Colombia, en el cual esta Administración solicita una ampliación del periodo reglamentario previsto para la puesta en servicio de las asignaciones de la red de satélites SATCOL 1B en la posición 70,9</w:t>
            </w:r>
            <w:r w:rsidR="00853F34">
              <w:rPr>
                <w:rFonts w:cs="Times New Roman"/>
                <w:sz w:val="22"/>
                <w:lang w:val="es-ES"/>
              </w:rPr>
              <w:t>°</w:t>
            </w:r>
            <w:r w:rsidR="00853F34">
              <w:rPr>
                <w:sz w:val="22"/>
                <w:lang w:val="es-ES"/>
              </w:rPr>
              <w:t> W</w:t>
            </w:r>
            <w:r w:rsidRPr="00A864C4">
              <w:rPr>
                <w:sz w:val="22"/>
                <w:lang w:val="es-ES"/>
              </w:rPr>
              <w:t>.</w:t>
            </w:r>
          </w:p>
          <w:p w14:paraId="5B82A13E" w14:textId="72EBC21A" w:rsidR="00967792" w:rsidRPr="00A864C4" w:rsidRDefault="00967792" w:rsidP="00B53355">
            <w:pPr>
              <w:spacing w:before="40" w:after="40"/>
              <w:rPr>
                <w:sz w:val="22"/>
                <w:lang w:val="es-ES"/>
              </w:rPr>
            </w:pPr>
            <w:r w:rsidRPr="00A864C4">
              <w:rPr>
                <w:sz w:val="22"/>
                <w:lang w:val="es-ES"/>
              </w:rPr>
              <w:t>«La Administración de Colombia, tras el acuerdo entre las administraciones interesadas, entregó al Presidente de la Comisión 5 el siguiente texto para su estudio por la Plenaria</w:t>
            </w:r>
            <w:bookmarkStart w:id="14" w:name="lt_pId163"/>
            <w:bookmarkEnd w:id="13"/>
            <w:r w:rsidRPr="00A864C4">
              <w:rPr>
                <w:sz w:val="22"/>
                <w:lang w:val="es-ES"/>
              </w:rPr>
              <w:t xml:space="preserve">: «En el Documento 110, la Administración de Colombia solicitó a la CMR-15 que considerase la posibilidad de ampliar el periodo reglamentario para la puesta en servicio de las asignaciones de frecuencias a la red de satélites SATCOL 1B, habida cuenta del Artículo 44 de la Constitución de la UIT y de la Recomendación 6 de la Conferencia de Plenipotenciarios de 2014 (PP14). La Administración de Colombia solicitó el respaldo de la CMR-15, a fin de que encargase a la Oficina de Radiocomunicaciones que ampliase el periodo reglamentario para la puesta en servicio de las asignaciones a SATCOL 1B hasta el 28 de noviembre de 2018. Las administraciones interesadas celebraron los debates oportunos para llegar a un acuerdo con respecto a la protección de sus redes de satélites. Con arreglo a los acuerdos alcanzados entre las administraciones interesadas, la CMR-15 encargó a la Oficina de Radiocomunicaciones que ampliase el periodo </w:t>
            </w:r>
            <w:r w:rsidRPr="00A864C4">
              <w:rPr>
                <w:sz w:val="22"/>
                <w:lang w:val="es-ES"/>
              </w:rPr>
              <w:lastRenderedPageBreak/>
              <w:t>reglamentario para la puesta en servicio de las asignaciones a SATCOL 1B hasta el 28 de noviembre de 2018».</w:t>
            </w:r>
          </w:p>
          <w:bookmarkEnd w:id="14"/>
          <w:p w14:paraId="3D70BC30" w14:textId="044A29D5" w:rsidR="00967792" w:rsidRPr="00A864C4" w:rsidRDefault="00967792" w:rsidP="00B53355">
            <w:pPr>
              <w:spacing w:before="40" w:after="40"/>
              <w:rPr>
                <w:sz w:val="22"/>
                <w:lang w:val="es-ES"/>
              </w:rPr>
            </w:pPr>
            <w:r w:rsidRPr="00A864C4">
              <w:rPr>
                <w:sz w:val="22"/>
                <w:lang w:val="es-ES"/>
              </w:rPr>
              <w:t>1.46</w:t>
            </w:r>
            <w:r w:rsidRPr="00A864C4">
              <w:rPr>
                <w:sz w:val="22"/>
                <w:lang w:val="es-ES"/>
              </w:rPr>
              <w:tab/>
            </w:r>
            <w:bookmarkStart w:id="15" w:name="lt_pId168"/>
            <w:r w:rsidRPr="00A864C4">
              <w:rPr>
                <w:sz w:val="22"/>
                <w:lang w:val="es-ES"/>
              </w:rPr>
              <w:t xml:space="preserve">El </w:t>
            </w:r>
            <w:r w:rsidRPr="00A864C4">
              <w:rPr>
                <w:b/>
                <w:sz w:val="22"/>
                <w:lang w:val="es-ES"/>
              </w:rPr>
              <w:t xml:space="preserve">delegado de la República Islámica del Irán </w:t>
            </w:r>
            <w:r w:rsidRPr="00A864C4">
              <w:rPr>
                <w:sz w:val="22"/>
                <w:lang w:val="es-ES"/>
              </w:rPr>
              <w:t>dice que la Conferencia debe responder positivamente a la petición de Colombia, país en desarrollo que sufre numerosas dificultades.</w:t>
            </w:r>
            <w:bookmarkEnd w:id="15"/>
          </w:p>
          <w:p w14:paraId="28F05029" w14:textId="77777777" w:rsidR="00967792" w:rsidRPr="00A864C4" w:rsidRDefault="00967792" w:rsidP="00B53355">
            <w:pPr>
              <w:spacing w:before="40" w:after="40"/>
              <w:rPr>
                <w:sz w:val="22"/>
                <w:lang w:val="es-ES"/>
              </w:rPr>
            </w:pPr>
            <w:r w:rsidRPr="00A864C4">
              <w:rPr>
                <w:sz w:val="22"/>
                <w:lang w:val="es-ES"/>
              </w:rPr>
              <w:t>1.47</w:t>
            </w:r>
            <w:r w:rsidRPr="00A864C4">
              <w:rPr>
                <w:sz w:val="22"/>
                <w:lang w:val="es-ES"/>
              </w:rPr>
              <w:tab/>
            </w:r>
            <w:bookmarkStart w:id="16" w:name="lt_pId170"/>
            <w:r w:rsidRPr="00A864C4">
              <w:rPr>
                <w:sz w:val="22"/>
                <w:lang w:val="es-ES"/>
              </w:rPr>
              <w:t xml:space="preserve">El </w:t>
            </w:r>
            <w:r w:rsidRPr="00A864C4">
              <w:rPr>
                <w:b/>
                <w:bCs/>
                <w:sz w:val="22"/>
                <w:lang w:val="es-ES"/>
              </w:rPr>
              <w:t>Presidente</w:t>
            </w:r>
            <w:r w:rsidRPr="00A864C4">
              <w:rPr>
                <w:sz w:val="22"/>
                <w:lang w:val="es-ES"/>
              </w:rPr>
              <w:t xml:space="preserve"> propone a la Conferencia aprobar por unanimidad el texto de la Administración de Colombia, encargando así a la Oficina de Radiocomunicaciones la ampliación del periodo reglamentario previsto para la puesta en servicio de la red SATCOL 1B hasta el 28 de noviembre de 2018, e incluirlo en el acta de la Sesión. </w:t>
            </w:r>
          </w:p>
          <w:bookmarkEnd w:id="16"/>
          <w:p w14:paraId="263FFCC1" w14:textId="77777777" w:rsidR="00967792" w:rsidRPr="00A864C4" w:rsidRDefault="00967792" w:rsidP="00B53355">
            <w:pPr>
              <w:spacing w:before="40" w:after="40"/>
              <w:rPr>
                <w:sz w:val="22"/>
                <w:lang w:val="es-ES"/>
              </w:rPr>
            </w:pPr>
            <w:r w:rsidRPr="00A864C4">
              <w:rPr>
                <w:sz w:val="22"/>
                <w:lang w:val="es-ES"/>
              </w:rPr>
              <w:t>1.48</w:t>
            </w:r>
            <w:r w:rsidRPr="00A864C4">
              <w:rPr>
                <w:sz w:val="22"/>
                <w:lang w:val="es-ES"/>
              </w:rPr>
              <w:tab/>
              <w:t xml:space="preserve">Así se </w:t>
            </w:r>
            <w:r w:rsidRPr="00A864C4">
              <w:rPr>
                <w:b/>
                <w:sz w:val="22"/>
                <w:lang w:val="es-ES"/>
              </w:rPr>
              <w:t>acuerda</w:t>
            </w:r>
            <w:r w:rsidRPr="00A864C4">
              <w:rPr>
                <w:sz w:val="22"/>
                <w:lang w:val="es-ES"/>
              </w:rPr>
              <w:t xml:space="preserve">. </w:t>
            </w:r>
          </w:p>
          <w:p w14:paraId="2917D150" w14:textId="3F535945" w:rsidR="00967792" w:rsidRPr="00A864C4" w:rsidRDefault="00967792" w:rsidP="00B53355">
            <w:pPr>
              <w:spacing w:before="40" w:after="40"/>
              <w:rPr>
                <w:sz w:val="22"/>
                <w:lang w:val="es-ES"/>
              </w:rPr>
            </w:pPr>
            <w:r w:rsidRPr="00A864C4">
              <w:rPr>
                <w:sz w:val="22"/>
                <w:lang w:val="es-ES"/>
              </w:rPr>
              <w:t>1.49</w:t>
            </w:r>
            <w:r w:rsidRPr="00A864C4">
              <w:rPr>
                <w:sz w:val="22"/>
                <w:lang w:val="es-ES"/>
              </w:rPr>
              <w:tab/>
            </w:r>
            <w:bookmarkStart w:id="17" w:name="lt_pId174"/>
            <w:r w:rsidRPr="00A864C4">
              <w:rPr>
                <w:sz w:val="22"/>
                <w:lang w:val="es-ES"/>
              </w:rPr>
              <w:t xml:space="preserve">El </w:t>
            </w:r>
            <w:r w:rsidRPr="00A864C4">
              <w:rPr>
                <w:b/>
                <w:bCs/>
                <w:sz w:val="22"/>
                <w:lang w:val="es-ES"/>
              </w:rPr>
              <w:t>delegado de Colombia</w:t>
            </w:r>
            <w:r w:rsidRPr="00A864C4">
              <w:rPr>
                <w:sz w:val="22"/>
                <w:lang w:val="es-ES"/>
              </w:rPr>
              <w:t xml:space="preserve"> dice que su Administración está trabajando para dar acceso a toda la población a la banda ancha y que se esfuerza continuamente para respetar el Reglamento de Radiocomunicaciones y los acuerdos alcanzados en este dominio.</w:t>
            </w:r>
            <w:bookmarkEnd w:id="17"/>
          </w:p>
        </w:tc>
        <w:tc>
          <w:tcPr>
            <w:tcW w:w="1548" w:type="pct"/>
          </w:tcPr>
          <w:p w14:paraId="69FC51F8" w14:textId="6159612C" w:rsidR="00967792" w:rsidRPr="00266695" w:rsidDel="009440F5" w:rsidRDefault="00967792" w:rsidP="00B53355">
            <w:pPr>
              <w:pStyle w:val="Tabletext"/>
              <w:rPr>
                <w:lang w:val="es-ES"/>
              </w:rPr>
            </w:pPr>
            <w:r w:rsidRPr="00266695">
              <w:rPr>
                <w:lang w:val="es-ES"/>
              </w:rPr>
              <w:lastRenderedPageBreak/>
              <w:t>–</w:t>
            </w:r>
          </w:p>
        </w:tc>
      </w:tr>
      <w:tr w:rsidR="00967792" w:rsidRPr="00D2027A" w14:paraId="34F02E71" w14:textId="77777777" w:rsidTr="00924C8B">
        <w:trPr>
          <w:jc w:val="center"/>
        </w:trPr>
        <w:tc>
          <w:tcPr>
            <w:tcW w:w="183" w:type="pct"/>
          </w:tcPr>
          <w:p w14:paraId="22202D40" w14:textId="6A958D14" w:rsidR="00967792" w:rsidRPr="00A616CA" w:rsidRDefault="00967792" w:rsidP="00B53355">
            <w:pPr>
              <w:pStyle w:val="Tabletext"/>
              <w:rPr>
                <w:lang w:val="es-ES"/>
              </w:rPr>
            </w:pPr>
            <w:r w:rsidRPr="00A616CA">
              <w:rPr>
                <w:lang w:val="es-ES"/>
              </w:rPr>
              <w:t>56</w:t>
            </w:r>
          </w:p>
        </w:tc>
        <w:tc>
          <w:tcPr>
            <w:tcW w:w="434" w:type="pct"/>
          </w:tcPr>
          <w:p w14:paraId="4774AC58" w14:textId="714E2CC2" w:rsidR="00967792" w:rsidRPr="00A616CA" w:rsidRDefault="00967792" w:rsidP="00B53355">
            <w:pPr>
              <w:pStyle w:val="Tabletext"/>
              <w:rPr>
                <w:lang w:val="es-ES"/>
              </w:rPr>
            </w:pPr>
            <w:r w:rsidRPr="00A616CA">
              <w:rPr>
                <w:lang w:val="es-ES"/>
              </w:rPr>
              <w:t>CMR-15</w:t>
            </w:r>
          </w:p>
        </w:tc>
        <w:tc>
          <w:tcPr>
            <w:tcW w:w="523" w:type="pct"/>
          </w:tcPr>
          <w:p w14:paraId="7A9B7DE9" w14:textId="620D1D34" w:rsidR="00967792" w:rsidRPr="00D2027A" w:rsidRDefault="00967792" w:rsidP="00A864C4">
            <w:pPr>
              <w:pStyle w:val="Tabletext"/>
              <w:rPr>
                <w:rFonts w:asciiTheme="majorBidi" w:hAnsiTheme="majorBidi" w:cstheme="majorBidi"/>
                <w:bCs/>
                <w:szCs w:val="24"/>
                <w:lang w:val="es-ES"/>
              </w:rPr>
            </w:pPr>
            <w:r w:rsidRPr="00D2027A">
              <w:rPr>
                <w:rFonts w:asciiTheme="majorBidi" w:hAnsiTheme="majorBidi" w:cstheme="majorBidi"/>
                <w:bCs/>
                <w:szCs w:val="24"/>
                <w:lang w:val="es-ES"/>
              </w:rPr>
              <w:t>11ª Plenaria</w:t>
            </w:r>
            <w:r w:rsidR="002D0088">
              <w:rPr>
                <w:rFonts w:asciiTheme="majorBidi" w:hAnsiTheme="majorBidi" w:cstheme="majorBidi"/>
                <w:bCs/>
                <w:szCs w:val="24"/>
                <w:lang w:val="es-ES"/>
              </w:rPr>
              <w:br/>
            </w:r>
            <w:hyperlink r:id="rId198">
              <w:r w:rsidRPr="00D2027A">
                <w:rPr>
                  <w:rStyle w:val="Hyperlink"/>
                  <w:rFonts w:asciiTheme="majorBidi" w:hAnsiTheme="majorBidi" w:cstheme="majorBidi"/>
                  <w:bCs/>
                  <w:szCs w:val="24"/>
                  <w:lang w:val="es-ES"/>
                </w:rPr>
                <w:t>Doc. CMR15/508</w:t>
              </w:r>
            </w:hyperlink>
          </w:p>
          <w:p w14:paraId="6204795E" w14:textId="078B6081" w:rsidR="00967792" w:rsidRPr="00D2027A" w:rsidRDefault="00A864C4" w:rsidP="00A864C4">
            <w:pPr>
              <w:pStyle w:val="Tabletext"/>
              <w:rPr>
                <w:rFonts w:asciiTheme="majorBidi" w:hAnsiTheme="majorBidi" w:cstheme="majorBidi"/>
                <w:bCs/>
                <w:szCs w:val="24"/>
                <w:lang w:val="es-ES"/>
              </w:rPr>
            </w:pPr>
            <w:r w:rsidRPr="00D2027A">
              <w:rPr>
                <w:rFonts w:asciiTheme="majorBidi" w:hAnsiTheme="majorBidi" w:cstheme="majorBidi"/>
                <w:bCs/>
                <w:szCs w:val="24"/>
                <w:lang w:val="es-ES"/>
              </w:rPr>
              <w:t xml:space="preserve">Aprobación del </w:t>
            </w:r>
            <w:r w:rsidRPr="00A864C4">
              <w:rPr>
                <w:lang w:val="es-ES"/>
              </w:rPr>
              <w:t>Documento</w:t>
            </w:r>
            <w:r w:rsidRPr="00D2027A">
              <w:rPr>
                <w:rFonts w:asciiTheme="majorBidi" w:hAnsiTheme="majorBidi" w:cstheme="majorBidi"/>
                <w:bCs/>
                <w:szCs w:val="24"/>
                <w:lang w:val="es-ES"/>
              </w:rPr>
              <w:t xml:space="preserve"> </w:t>
            </w:r>
            <w:r w:rsidR="00967792" w:rsidRPr="00D2027A">
              <w:rPr>
                <w:rFonts w:asciiTheme="majorBidi" w:hAnsiTheme="majorBidi" w:cstheme="majorBidi"/>
                <w:bCs/>
                <w:szCs w:val="24"/>
                <w:lang w:val="es-ES"/>
              </w:rPr>
              <w:t>CMR15/456</w:t>
            </w:r>
          </w:p>
        </w:tc>
        <w:tc>
          <w:tcPr>
            <w:tcW w:w="2312" w:type="pct"/>
          </w:tcPr>
          <w:p w14:paraId="3F684221" w14:textId="67ECD8E8" w:rsidR="00967792" w:rsidRPr="00A864C4" w:rsidRDefault="00967792" w:rsidP="00B53355">
            <w:pPr>
              <w:spacing w:before="40" w:after="40"/>
              <w:rPr>
                <w:sz w:val="22"/>
                <w:lang w:val="es-ES"/>
              </w:rPr>
            </w:pPr>
            <w:r w:rsidRPr="00A864C4">
              <w:rPr>
                <w:sz w:val="22"/>
                <w:lang w:val="es-ES"/>
              </w:rPr>
              <w:t>1.1</w:t>
            </w:r>
            <w:r w:rsidRPr="00A864C4">
              <w:rPr>
                <w:sz w:val="22"/>
                <w:lang w:val="es-ES"/>
              </w:rPr>
              <w:tab/>
              <w:t xml:space="preserve">El </w:t>
            </w:r>
            <w:r w:rsidRPr="00A864C4">
              <w:rPr>
                <w:b/>
                <w:bCs/>
                <w:sz w:val="22"/>
                <w:lang w:val="es-ES"/>
              </w:rPr>
              <w:t>Presidente de la Comisión 5</w:t>
            </w:r>
            <w:r w:rsidRPr="00A864C4">
              <w:rPr>
                <w:sz w:val="22"/>
                <w:lang w:val="es-ES"/>
              </w:rPr>
              <w:t>, al presentar los Documentos 426 y 456, afirma que la Comisión no ha alcanzado ninguna conclusión respecto de los textos reglamentarios elaborados a partir de las propuestas que se le presentaron en relación con el punto 1.12 del orden del día, que figuran en el Anexo al Documento 426, en cuyo contexto llama especialmente la atención sobre la nota a pie de página 5.X112. Las discusiones informales celebradas posteriormente entre las administraciones concernidas resultaron, entre otras cosas, en la nota núm</w:t>
            </w:r>
            <w:r w:rsidR="00A864C4">
              <w:rPr>
                <w:sz w:val="22"/>
                <w:lang w:val="es-ES"/>
              </w:rPr>
              <w:t>ero</w:t>
            </w:r>
            <w:r w:rsidRPr="00A864C4">
              <w:rPr>
                <w:sz w:val="22"/>
                <w:lang w:val="es-ES"/>
              </w:rPr>
              <w:t xml:space="preserve"> 5.A112 nuevamente modificada en el Anexo al Documento 456, en relación con la cual se ha elaborado el siguiente texto para su inclusión en las actas de la plenaria como posición de la Conferencia:</w:t>
            </w:r>
          </w:p>
          <w:p w14:paraId="1DBDCA7A" w14:textId="77777777" w:rsidR="00967792" w:rsidRPr="00A864C4" w:rsidRDefault="00967792" w:rsidP="00B53355">
            <w:pPr>
              <w:spacing w:before="40" w:after="40"/>
              <w:rPr>
                <w:sz w:val="22"/>
                <w:lang w:val="es-ES"/>
              </w:rPr>
            </w:pPr>
            <w:r w:rsidRPr="00A864C4">
              <w:rPr>
                <w:sz w:val="22"/>
                <w:lang w:val="es-ES"/>
              </w:rPr>
              <w:t xml:space="preserve">«Al adoptar el número 5.A112, la CMR-15 reconoció la Resolución 174 (Rev. Busán, 2014), relativa a la «Función de la UIT respecto a los problemas de política pública internacional asociados al riesgo de utilización ilícita de las tecnologías de la información y la comunicación», así como la Resolución A/RES/41/65 de la Asamblea General de las Naciones Unidas sobre «Principios relativos a la </w:t>
            </w:r>
            <w:r w:rsidRPr="00A864C4">
              <w:rPr>
                <w:sz w:val="22"/>
                <w:lang w:val="es-ES"/>
              </w:rPr>
              <w:lastRenderedPageBreak/>
              <w:t xml:space="preserve">teleobservación de la Tierra desde el espacio» y, en particular, su Principio IV, los cuales revisten una importancia particular para esta aplicación.» </w:t>
            </w:r>
          </w:p>
          <w:p w14:paraId="150D5FAC" w14:textId="77777777" w:rsidR="00967792" w:rsidRPr="00A864C4" w:rsidRDefault="00967792" w:rsidP="00B53355">
            <w:pPr>
              <w:spacing w:before="40" w:after="40"/>
              <w:rPr>
                <w:sz w:val="22"/>
                <w:lang w:val="es-ES"/>
              </w:rPr>
            </w:pPr>
            <w:r w:rsidRPr="00A864C4">
              <w:rPr>
                <w:sz w:val="22"/>
                <w:lang w:val="es-ES"/>
              </w:rPr>
              <w:t>Añade que los textos reglamentarios presentados en el Anexo al Documento 456, incluida la nota número 5.A112, se han redactado tras intensos debates orientados a encontrar soluciones aceptables para todos los interesados, y uno de cuyos resultados ha sido la eliminación de la nota número 5.X112.</w:t>
            </w:r>
          </w:p>
          <w:p w14:paraId="3D1C098C" w14:textId="77777777" w:rsidR="00967792" w:rsidRPr="00A864C4" w:rsidRDefault="00967792" w:rsidP="00B53355">
            <w:pPr>
              <w:spacing w:before="40" w:after="40"/>
              <w:rPr>
                <w:sz w:val="22"/>
                <w:lang w:val="es-ES"/>
              </w:rPr>
            </w:pPr>
            <w:r w:rsidRPr="00A864C4">
              <w:rPr>
                <w:sz w:val="22"/>
                <w:lang w:val="es-ES"/>
              </w:rPr>
              <w:t>1.2</w:t>
            </w:r>
            <w:r w:rsidRPr="00A864C4">
              <w:rPr>
                <w:sz w:val="22"/>
                <w:lang w:val="es-ES"/>
              </w:rPr>
              <w:tab/>
              <w:t xml:space="preserve">En respuesta a una sugerencia del </w:t>
            </w:r>
            <w:r w:rsidRPr="00A864C4">
              <w:rPr>
                <w:b/>
                <w:bCs/>
                <w:sz w:val="22"/>
                <w:lang w:val="es-ES"/>
              </w:rPr>
              <w:t>Presidente</w:t>
            </w:r>
            <w:r w:rsidRPr="00A864C4">
              <w:rPr>
                <w:sz w:val="22"/>
                <w:lang w:val="es-ES"/>
              </w:rPr>
              <w:t xml:space="preserve"> en la que pide que se comunique al Presidente de la Comisión 5 la inclusión de nombres de países en las notas, el </w:t>
            </w:r>
            <w:r w:rsidRPr="00A864C4">
              <w:rPr>
                <w:b/>
                <w:bCs/>
                <w:sz w:val="22"/>
                <w:lang w:val="es-ES"/>
              </w:rPr>
              <w:t>delegado de la República Islámica del Irán</w:t>
            </w:r>
            <w:r w:rsidRPr="00A864C4">
              <w:rPr>
                <w:sz w:val="22"/>
                <w:lang w:val="es-ES"/>
              </w:rPr>
              <w:t xml:space="preserve"> insiste en que tales peticiones deben formularse en plenaria a fin de obtener la necesaria aprobación oficial. </w:t>
            </w:r>
          </w:p>
          <w:p w14:paraId="77A7254F" w14:textId="2E6B5098" w:rsidR="00967792" w:rsidRPr="00A864C4" w:rsidRDefault="00967792" w:rsidP="00B53355">
            <w:pPr>
              <w:spacing w:before="40" w:after="40"/>
              <w:rPr>
                <w:sz w:val="22"/>
                <w:lang w:val="es-ES"/>
              </w:rPr>
            </w:pPr>
            <w:r w:rsidRPr="00A864C4">
              <w:rPr>
                <w:sz w:val="22"/>
                <w:lang w:val="es-ES"/>
              </w:rPr>
              <w:t>1.3</w:t>
            </w:r>
            <w:r w:rsidRPr="00A864C4">
              <w:rPr>
                <w:sz w:val="22"/>
                <w:lang w:val="es-ES"/>
              </w:rPr>
              <w:tab/>
              <w:t xml:space="preserve">Los </w:t>
            </w:r>
            <w:r w:rsidRPr="00A864C4">
              <w:rPr>
                <w:b/>
                <w:bCs/>
                <w:sz w:val="22"/>
                <w:lang w:val="es-ES"/>
              </w:rPr>
              <w:t>delegados de Indonesia</w:t>
            </w:r>
            <w:r w:rsidRPr="00A864C4">
              <w:rPr>
                <w:sz w:val="22"/>
                <w:lang w:val="es-ES"/>
              </w:rPr>
              <w:t>,</w:t>
            </w:r>
            <w:r w:rsidRPr="00A864C4">
              <w:rPr>
                <w:b/>
                <w:bCs/>
                <w:sz w:val="22"/>
                <w:lang w:val="es-ES"/>
              </w:rPr>
              <w:t xml:space="preserve"> Arabia Saudita y Bahrein</w:t>
            </w:r>
            <w:r w:rsidRPr="00A864C4">
              <w:rPr>
                <w:sz w:val="22"/>
                <w:lang w:val="es-ES"/>
              </w:rPr>
              <w:t xml:space="preserve"> solicitan que se añadan los nombres de sus países en la nota número</w:t>
            </w:r>
            <w:r w:rsidR="00394B16">
              <w:rPr>
                <w:sz w:val="22"/>
                <w:lang w:val="es-ES"/>
              </w:rPr>
              <w:t> </w:t>
            </w:r>
            <w:r w:rsidRPr="00A864C4">
              <w:rPr>
                <w:sz w:val="22"/>
                <w:lang w:val="es-ES"/>
              </w:rPr>
              <w:t>5.A112.</w:t>
            </w:r>
          </w:p>
          <w:p w14:paraId="624F45A7" w14:textId="77777777" w:rsidR="00967792" w:rsidRPr="00A864C4" w:rsidRDefault="00967792" w:rsidP="00B53355">
            <w:pPr>
              <w:spacing w:before="40" w:after="40"/>
              <w:rPr>
                <w:sz w:val="22"/>
                <w:lang w:val="es-ES"/>
              </w:rPr>
            </w:pPr>
            <w:r w:rsidRPr="00A864C4">
              <w:rPr>
                <w:sz w:val="22"/>
                <w:lang w:val="es-ES"/>
              </w:rPr>
              <w:t>1.4</w:t>
            </w:r>
            <w:r w:rsidRPr="00A864C4">
              <w:rPr>
                <w:sz w:val="22"/>
                <w:lang w:val="es-ES"/>
              </w:rPr>
              <w:tab/>
              <w:t xml:space="preserve">Así se </w:t>
            </w:r>
            <w:r w:rsidRPr="00A864C4">
              <w:rPr>
                <w:b/>
                <w:bCs/>
                <w:sz w:val="22"/>
                <w:lang w:val="es-ES"/>
              </w:rPr>
              <w:t>acuerda</w:t>
            </w:r>
            <w:r w:rsidRPr="00A864C4">
              <w:rPr>
                <w:sz w:val="22"/>
                <w:lang w:val="es-ES"/>
              </w:rPr>
              <w:t>.</w:t>
            </w:r>
          </w:p>
          <w:p w14:paraId="60B0FD56" w14:textId="5DBA349B" w:rsidR="00967792" w:rsidRPr="00A864C4" w:rsidRDefault="00967792" w:rsidP="00B53355">
            <w:pPr>
              <w:spacing w:before="40" w:after="40"/>
              <w:rPr>
                <w:sz w:val="22"/>
                <w:lang w:val="es-ES"/>
              </w:rPr>
            </w:pPr>
            <w:r w:rsidRPr="00A864C4">
              <w:rPr>
                <w:sz w:val="22"/>
                <w:lang w:val="es-ES"/>
              </w:rPr>
              <w:t>1.5</w:t>
            </w:r>
            <w:r w:rsidRPr="00A864C4">
              <w:rPr>
                <w:sz w:val="22"/>
                <w:lang w:val="es-ES"/>
              </w:rPr>
              <w:tab/>
              <w:t xml:space="preserve">Se </w:t>
            </w:r>
            <w:r w:rsidRPr="00A864C4">
              <w:rPr>
                <w:b/>
                <w:bCs/>
                <w:sz w:val="22"/>
                <w:lang w:val="es-ES"/>
              </w:rPr>
              <w:t>aprueba</w:t>
            </w:r>
            <w:r w:rsidRPr="00A864C4">
              <w:rPr>
                <w:sz w:val="22"/>
                <w:lang w:val="es-ES"/>
              </w:rPr>
              <w:t xml:space="preserve"> el Documento 456, incluidos el texto relativo al número 5.A112 y los textos del anexo, en su versión enmendada. </w:t>
            </w:r>
          </w:p>
        </w:tc>
        <w:tc>
          <w:tcPr>
            <w:tcW w:w="1548" w:type="pct"/>
          </w:tcPr>
          <w:p w14:paraId="22EE8EFC" w14:textId="2CEAF206" w:rsidR="00967792" w:rsidRPr="00266695" w:rsidDel="009440F5" w:rsidRDefault="00967792" w:rsidP="00B53355">
            <w:pPr>
              <w:pStyle w:val="Tabletext"/>
              <w:rPr>
                <w:lang w:val="es-ES"/>
              </w:rPr>
            </w:pPr>
            <w:r w:rsidRPr="00266695">
              <w:rPr>
                <w:lang w:val="es-ES"/>
              </w:rPr>
              <w:lastRenderedPageBreak/>
              <w:t>–</w:t>
            </w:r>
          </w:p>
        </w:tc>
      </w:tr>
      <w:tr w:rsidR="00967792" w:rsidRPr="00D2027A" w14:paraId="25D64212" w14:textId="77777777" w:rsidTr="00924C8B">
        <w:trPr>
          <w:jc w:val="center"/>
        </w:trPr>
        <w:tc>
          <w:tcPr>
            <w:tcW w:w="183" w:type="pct"/>
          </w:tcPr>
          <w:p w14:paraId="491F2C47" w14:textId="178A3098" w:rsidR="00967792" w:rsidRPr="00A616CA" w:rsidRDefault="00967792" w:rsidP="00B53355">
            <w:pPr>
              <w:pStyle w:val="Tabletext"/>
              <w:rPr>
                <w:lang w:val="es-ES"/>
              </w:rPr>
            </w:pPr>
            <w:r w:rsidRPr="00A616CA">
              <w:rPr>
                <w:lang w:val="es-ES"/>
              </w:rPr>
              <w:t>57</w:t>
            </w:r>
          </w:p>
        </w:tc>
        <w:tc>
          <w:tcPr>
            <w:tcW w:w="434" w:type="pct"/>
          </w:tcPr>
          <w:p w14:paraId="4BF27E6D" w14:textId="5F17F580" w:rsidR="00967792" w:rsidRPr="00A616CA" w:rsidRDefault="00967792" w:rsidP="00B53355">
            <w:pPr>
              <w:pStyle w:val="Tabletext"/>
              <w:rPr>
                <w:lang w:val="es-ES"/>
              </w:rPr>
            </w:pPr>
            <w:r w:rsidRPr="00A616CA">
              <w:rPr>
                <w:lang w:val="es-ES"/>
              </w:rPr>
              <w:t>CMR-15</w:t>
            </w:r>
          </w:p>
        </w:tc>
        <w:tc>
          <w:tcPr>
            <w:tcW w:w="523" w:type="pct"/>
          </w:tcPr>
          <w:p w14:paraId="2236DA36" w14:textId="54CE35E4" w:rsidR="00967792" w:rsidRPr="00D2027A" w:rsidRDefault="00967792" w:rsidP="00A864C4">
            <w:pPr>
              <w:pStyle w:val="Tabletext"/>
              <w:rPr>
                <w:rFonts w:asciiTheme="majorBidi" w:hAnsiTheme="majorBidi" w:cstheme="majorBidi"/>
                <w:bCs/>
                <w:szCs w:val="24"/>
                <w:lang w:val="es-ES"/>
              </w:rPr>
            </w:pPr>
            <w:r w:rsidRPr="00D2027A">
              <w:rPr>
                <w:rFonts w:asciiTheme="majorBidi" w:hAnsiTheme="majorBidi" w:cstheme="majorBidi"/>
                <w:bCs/>
                <w:szCs w:val="24"/>
                <w:lang w:val="es-ES"/>
              </w:rPr>
              <w:t xml:space="preserve">12ª </w:t>
            </w:r>
            <w:r w:rsidR="009B6F4D" w:rsidRPr="00A864C4">
              <w:rPr>
                <w:lang w:val="es-ES"/>
              </w:rPr>
              <w:t>Plenaria</w:t>
            </w:r>
            <w:r w:rsidR="002D0088">
              <w:rPr>
                <w:rFonts w:asciiTheme="majorBidi" w:hAnsiTheme="majorBidi" w:cstheme="majorBidi"/>
                <w:bCs/>
                <w:szCs w:val="24"/>
                <w:lang w:val="es-ES"/>
              </w:rPr>
              <w:br/>
            </w:r>
            <w:hyperlink r:id="rId199">
              <w:r w:rsidRPr="00D2027A">
                <w:rPr>
                  <w:rStyle w:val="Hyperlink"/>
                  <w:rFonts w:asciiTheme="majorBidi" w:hAnsiTheme="majorBidi" w:cstheme="majorBidi"/>
                  <w:bCs/>
                  <w:szCs w:val="24"/>
                  <w:lang w:val="es-ES"/>
                </w:rPr>
                <w:t>Doc. CMR15/509</w:t>
              </w:r>
            </w:hyperlink>
          </w:p>
          <w:p w14:paraId="30E9053F" w14:textId="5E9E64F7" w:rsidR="00967792" w:rsidRPr="00D2027A" w:rsidRDefault="00967792" w:rsidP="00A864C4">
            <w:pPr>
              <w:pStyle w:val="Tabletext"/>
              <w:rPr>
                <w:rFonts w:asciiTheme="majorBidi" w:hAnsiTheme="majorBidi" w:cstheme="majorBidi"/>
                <w:bCs/>
                <w:szCs w:val="24"/>
                <w:lang w:val="es-ES"/>
              </w:rPr>
            </w:pPr>
            <w:r w:rsidRPr="00D2027A">
              <w:rPr>
                <w:rFonts w:asciiTheme="majorBidi" w:hAnsiTheme="majorBidi" w:cstheme="majorBidi"/>
                <w:bCs/>
                <w:szCs w:val="24"/>
                <w:lang w:val="es-ES"/>
              </w:rPr>
              <w:t xml:space="preserve">Aprobación del </w:t>
            </w:r>
            <w:r w:rsidRPr="00A864C4">
              <w:rPr>
                <w:lang w:val="es-ES"/>
              </w:rPr>
              <w:t>Documento</w:t>
            </w:r>
            <w:r w:rsidRPr="00D2027A">
              <w:rPr>
                <w:rFonts w:asciiTheme="majorBidi" w:hAnsiTheme="majorBidi" w:cstheme="majorBidi"/>
                <w:bCs/>
                <w:szCs w:val="24"/>
                <w:lang w:val="es-ES"/>
              </w:rPr>
              <w:t xml:space="preserve"> CMR15/453</w:t>
            </w:r>
          </w:p>
        </w:tc>
        <w:tc>
          <w:tcPr>
            <w:tcW w:w="2312" w:type="pct"/>
          </w:tcPr>
          <w:p w14:paraId="4B80FFDD" w14:textId="77777777" w:rsidR="00967792" w:rsidRPr="00A864C4" w:rsidRDefault="00967792" w:rsidP="00B53355">
            <w:pPr>
              <w:spacing w:before="40" w:after="40"/>
              <w:rPr>
                <w:sz w:val="22"/>
                <w:lang w:val="es-ES"/>
              </w:rPr>
            </w:pPr>
            <w:r w:rsidRPr="00A864C4">
              <w:rPr>
                <w:sz w:val="22"/>
                <w:lang w:val="es-ES"/>
              </w:rPr>
              <w:t>3.1</w:t>
            </w:r>
            <w:r w:rsidRPr="00A864C4">
              <w:rPr>
                <w:sz w:val="22"/>
                <w:lang w:val="es-ES"/>
              </w:rPr>
              <w:tab/>
              <w:t xml:space="preserve">El </w:t>
            </w:r>
            <w:r w:rsidRPr="00A864C4">
              <w:rPr>
                <w:b/>
                <w:bCs/>
                <w:sz w:val="22"/>
                <w:lang w:val="es-ES"/>
              </w:rPr>
              <w:t>Presidente</w:t>
            </w:r>
            <w:r w:rsidRPr="00A864C4">
              <w:rPr>
                <w:sz w:val="22"/>
                <w:lang w:val="es-ES"/>
              </w:rPr>
              <w:t xml:space="preserve"> </w:t>
            </w:r>
            <w:r w:rsidRPr="00A864C4">
              <w:rPr>
                <w:b/>
                <w:bCs/>
                <w:sz w:val="22"/>
                <w:lang w:val="es-ES"/>
              </w:rPr>
              <w:t>de la Comisión de Redacción</w:t>
            </w:r>
            <w:r w:rsidRPr="00A864C4">
              <w:rPr>
                <w:sz w:val="22"/>
                <w:lang w:val="es-ES"/>
              </w:rPr>
              <w:t xml:space="preserve"> presenta el Documento 453, en el que figuran varios textos del Documento 428 (Decimotercera serie de textos sometidos por la Comisión de Redacción en primera lectura) en relación con el Artículo 11 y los Apéndices </w:t>
            </w:r>
            <w:r w:rsidRPr="009B6AB9">
              <w:rPr>
                <w:b/>
                <w:bCs/>
                <w:sz w:val="22"/>
                <w:lang w:val="es-ES"/>
              </w:rPr>
              <w:t>30</w:t>
            </w:r>
            <w:r w:rsidRPr="00A864C4">
              <w:rPr>
                <w:sz w:val="22"/>
                <w:lang w:val="es-ES"/>
              </w:rPr>
              <w:t xml:space="preserve">, </w:t>
            </w:r>
            <w:r w:rsidRPr="009B6AB9">
              <w:rPr>
                <w:b/>
                <w:bCs/>
                <w:sz w:val="22"/>
                <w:lang w:val="es-ES"/>
              </w:rPr>
              <w:t>30A</w:t>
            </w:r>
            <w:r w:rsidRPr="00A864C4">
              <w:rPr>
                <w:sz w:val="22"/>
                <w:lang w:val="es-ES"/>
              </w:rPr>
              <w:t xml:space="preserve"> y </w:t>
            </w:r>
            <w:r w:rsidRPr="009B6AB9">
              <w:rPr>
                <w:b/>
                <w:bCs/>
                <w:sz w:val="22"/>
                <w:lang w:val="es-ES"/>
              </w:rPr>
              <w:t>30B</w:t>
            </w:r>
            <w:r w:rsidRPr="00A864C4">
              <w:rPr>
                <w:sz w:val="22"/>
                <w:lang w:val="es-ES"/>
              </w:rPr>
              <w:t>, cuya aprobación se ha aplazado a petición del delegado de Argentina hasta que tengan lugar nuevas consultas.</w:t>
            </w:r>
          </w:p>
          <w:p w14:paraId="2EE4AE28" w14:textId="77777777" w:rsidR="00967792" w:rsidRPr="00A864C4" w:rsidRDefault="00967792" w:rsidP="00B53355">
            <w:pPr>
              <w:spacing w:before="40" w:after="40"/>
              <w:rPr>
                <w:sz w:val="22"/>
                <w:lang w:val="es-ES"/>
              </w:rPr>
            </w:pPr>
            <w:r w:rsidRPr="00A864C4">
              <w:rPr>
                <w:sz w:val="22"/>
                <w:lang w:val="es-ES"/>
              </w:rPr>
              <w:t>3.2</w:t>
            </w:r>
            <w:r w:rsidRPr="00A864C4">
              <w:rPr>
                <w:sz w:val="22"/>
                <w:lang w:val="es-ES"/>
              </w:rPr>
              <w:tab/>
              <w:t xml:space="preserve">El </w:t>
            </w:r>
            <w:r w:rsidRPr="00A864C4">
              <w:rPr>
                <w:b/>
                <w:bCs/>
                <w:sz w:val="22"/>
                <w:lang w:val="es-ES"/>
              </w:rPr>
              <w:t>delegado de Argentina</w:t>
            </w:r>
            <w:r w:rsidRPr="00A864C4">
              <w:rPr>
                <w:sz w:val="22"/>
                <w:lang w:val="es-ES"/>
              </w:rPr>
              <w:t>, en nombre de la CITEL, dice que durante las consultas oficiosas con representantes de otras regiones y otros participantes, se ha alcanzado un consenso en relación con los textos propuestos en el Documento 453, a reserva de la inclusión de la siguiente declaración en el acta de la Plenaria, por decisión de la Conferencia:</w:t>
            </w:r>
          </w:p>
          <w:p w14:paraId="15FA0B73" w14:textId="3F3C0A40" w:rsidR="00967792" w:rsidRPr="00A864C4" w:rsidRDefault="00D156CD" w:rsidP="00B53355">
            <w:pPr>
              <w:spacing w:before="40" w:after="40"/>
              <w:rPr>
                <w:sz w:val="22"/>
                <w:lang w:val="es-ES"/>
              </w:rPr>
            </w:pPr>
            <w:r>
              <w:rPr>
                <w:sz w:val="22"/>
                <w:lang w:val="es-ES"/>
              </w:rPr>
              <w:t>«</w:t>
            </w:r>
            <w:r w:rsidR="00967792" w:rsidRPr="00A864C4">
              <w:rPr>
                <w:sz w:val="22"/>
                <w:lang w:val="es-ES"/>
              </w:rPr>
              <w:t xml:space="preserve">Antes de adoptar la decisión de modificar el número </w:t>
            </w:r>
            <w:r w:rsidR="00967792" w:rsidRPr="002D0088">
              <w:rPr>
                <w:b/>
                <w:bCs/>
                <w:sz w:val="22"/>
                <w:lang w:val="es-ES"/>
              </w:rPr>
              <w:t>11.49</w:t>
            </w:r>
            <w:r w:rsidR="00967792" w:rsidRPr="00A864C4">
              <w:rPr>
                <w:sz w:val="22"/>
                <w:lang w:val="es-ES"/>
              </w:rPr>
              <w:t xml:space="preserve"> del Reglamento de Radiocomunicaciones en el marco del punto 7 del </w:t>
            </w:r>
            <w:r w:rsidR="00967792" w:rsidRPr="00A864C4">
              <w:rPr>
                <w:sz w:val="22"/>
                <w:lang w:val="es-ES"/>
              </w:rPr>
              <w:lastRenderedPageBreak/>
              <w:t>orden del día, tema A, la CMR-15 reconoce la necesidad de promover la transparencia sin comprometer el trato equitativo de las administraciones. En particular, la CMR-15 ha examinado detalladamente las inquietudes expresadas por algunas administraciones en relación con la posible incertidumbre que podría provocar la adopción de una disposición que puede reducir el per</w:t>
            </w:r>
            <w:r w:rsidR="00A864C4">
              <w:rPr>
                <w:sz w:val="22"/>
                <w:lang w:val="es-ES"/>
              </w:rPr>
              <w:t>i</w:t>
            </w:r>
            <w:r w:rsidR="00967792" w:rsidRPr="00A864C4">
              <w:rPr>
                <w:sz w:val="22"/>
                <w:lang w:val="es-ES"/>
              </w:rPr>
              <w:t xml:space="preserve">odo de nueva puesta en servicio por la presentación fuera de plazo de información a la Oficina para la suspensión de asignaciones de frecuencias inscritas. En consecuencia, la CMR-15 decide encargar a la Oficina, en aplicación del número </w:t>
            </w:r>
            <w:r w:rsidR="00967792" w:rsidRPr="005776A8">
              <w:rPr>
                <w:b/>
                <w:bCs/>
                <w:sz w:val="22"/>
                <w:lang w:val="es-ES"/>
              </w:rPr>
              <w:t>11.49</w:t>
            </w:r>
            <w:r w:rsidR="00967792" w:rsidRPr="00A864C4">
              <w:rPr>
                <w:sz w:val="22"/>
                <w:lang w:val="es-ES"/>
              </w:rPr>
              <w:t xml:space="preserve"> en su forma revisada por la CMR-15, que tenga en cuenta todas las circunstancias atenuantes legítimas que podrían impedir que una administración notificante cumpliera el plazo de seis meses. Si la Oficina cuenta con información fidedigna sobre la suspensión de la utilización de una asignación de frecuencia, realizada no obstante dentro del per</w:t>
            </w:r>
            <w:r w:rsidR="00A864C4">
              <w:rPr>
                <w:sz w:val="22"/>
                <w:lang w:val="es-ES"/>
              </w:rPr>
              <w:t>i</w:t>
            </w:r>
            <w:r w:rsidR="00967792" w:rsidRPr="00A864C4">
              <w:rPr>
                <w:sz w:val="22"/>
                <w:lang w:val="es-ES"/>
              </w:rPr>
              <w:t xml:space="preserve">odo de seis meses, se alienta a la Oficina, por cortesía, a que recuerde a la administración notificante su obligación de informar a la Oficina de la suspensión en virtud del número </w:t>
            </w:r>
            <w:r w:rsidR="00967792" w:rsidRPr="005776A8">
              <w:rPr>
                <w:b/>
                <w:bCs/>
                <w:sz w:val="22"/>
                <w:lang w:val="es-ES"/>
              </w:rPr>
              <w:t>11.49</w:t>
            </w:r>
            <w:r>
              <w:rPr>
                <w:sz w:val="22"/>
                <w:lang w:val="es-ES"/>
              </w:rPr>
              <w:t>»</w:t>
            </w:r>
            <w:r w:rsidR="00967792" w:rsidRPr="00A864C4">
              <w:rPr>
                <w:sz w:val="22"/>
                <w:lang w:val="es-ES"/>
              </w:rPr>
              <w:t>.</w:t>
            </w:r>
          </w:p>
          <w:p w14:paraId="3496093A" w14:textId="551D744F" w:rsidR="00967792" w:rsidRPr="00A864C4" w:rsidRDefault="00967792" w:rsidP="00B53355">
            <w:pPr>
              <w:spacing w:before="40" w:after="40"/>
              <w:rPr>
                <w:sz w:val="22"/>
                <w:lang w:val="es-ES"/>
              </w:rPr>
            </w:pPr>
            <w:r w:rsidRPr="00A864C4">
              <w:rPr>
                <w:sz w:val="22"/>
                <w:lang w:val="es-ES"/>
              </w:rPr>
              <w:t>3.3</w:t>
            </w:r>
            <w:r w:rsidRPr="00A864C4">
              <w:rPr>
                <w:sz w:val="22"/>
                <w:lang w:val="es-ES"/>
              </w:rPr>
              <w:tab/>
              <w:t xml:space="preserve">El </w:t>
            </w:r>
            <w:r w:rsidRPr="00A864C4">
              <w:rPr>
                <w:b/>
                <w:bCs/>
                <w:sz w:val="22"/>
                <w:lang w:val="es-ES"/>
              </w:rPr>
              <w:t>Director de la BR</w:t>
            </w:r>
            <w:r w:rsidRPr="00A864C4">
              <w:rPr>
                <w:sz w:val="22"/>
                <w:lang w:val="es-ES"/>
              </w:rPr>
              <w:t xml:space="preserve"> recomienda a la Plenaria que no acepte el texto propuesto, puesto que habida cuenta de su redacción, se encarga a la Oficina que tenga en cuenta todas las circunstancias atenuantes legítimas que podrían dar lugar la inobservancia del plazo de seis meses, lo cual es incoherente con las disposiciones del Reglamento de Radiocomunicaciones. No obstante, la propuesta podría aceptarse desde el punto de vista reglamentario si se redactara en términos más flexibles y se añadiera una frase para mencionar que el asunto se señalaría a la atención de la RRB. Por consiguiente, propone que se sustituya </w:t>
            </w:r>
            <w:r w:rsidR="00D156CD">
              <w:rPr>
                <w:sz w:val="22"/>
                <w:lang w:val="es-ES"/>
              </w:rPr>
              <w:t>«</w:t>
            </w:r>
            <w:r w:rsidRPr="00A864C4">
              <w:rPr>
                <w:sz w:val="22"/>
                <w:lang w:val="es-ES"/>
              </w:rPr>
              <w:t>encargar a la Oficina</w:t>
            </w:r>
            <w:r w:rsidR="00D156CD">
              <w:rPr>
                <w:sz w:val="22"/>
                <w:lang w:val="es-ES"/>
              </w:rPr>
              <w:t>»</w:t>
            </w:r>
            <w:r w:rsidRPr="00A864C4">
              <w:rPr>
                <w:sz w:val="22"/>
                <w:lang w:val="es-ES"/>
              </w:rPr>
              <w:t xml:space="preserve"> por </w:t>
            </w:r>
            <w:r w:rsidR="00D156CD">
              <w:rPr>
                <w:sz w:val="22"/>
                <w:lang w:val="es-ES"/>
              </w:rPr>
              <w:t>«</w:t>
            </w:r>
            <w:r w:rsidRPr="00A864C4">
              <w:rPr>
                <w:sz w:val="22"/>
                <w:lang w:val="es-ES"/>
              </w:rPr>
              <w:t>invitar a la</w:t>
            </w:r>
            <w:r w:rsidR="002D0088">
              <w:rPr>
                <w:sz w:val="22"/>
                <w:lang w:val="es-ES"/>
              </w:rPr>
              <w:t> </w:t>
            </w:r>
            <w:r w:rsidRPr="00A864C4">
              <w:rPr>
                <w:sz w:val="22"/>
                <w:lang w:val="es-ES"/>
              </w:rPr>
              <w:t>RRB</w:t>
            </w:r>
            <w:r w:rsidR="00D156CD">
              <w:rPr>
                <w:sz w:val="22"/>
                <w:lang w:val="es-ES"/>
              </w:rPr>
              <w:t>»</w:t>
            </w:r>
            <w:r w:rsidRPr="00A864C4">
              <w:rPr>
                <w:sz w:val="22"/>
                <w:lang w:val="es-ES"/>
              </w:rPr>
              <w:t xml:space="preserve">, y </w:t>
            </w:r>
            <w:r w:rsidR="00D156CD">
              <w:rPr>
                <w:sz w:val="22"/>
                <w:lang w:val="es-ES"/>
              </w:rPr>
              <w:t>«</w:t>
            </w:r>
            <w:r w:rsidRPr="00A864C4">
              <w:rPr>
                <w:sz w:val="22"/>
                <w:lang w:val="es-ES"/>
              </w:rPr>
              <w:t>tenga en cuenta</w:t>
            </w:r>
            <w:r w:rsidR="00D156CD">
              <w:rPr>
                <w:sz w:val="22"/>
                <w:lang w:val="es-ES"/>
              </w:rPr>
              <w:t>»</w:t>
            </w:r>
            <w:r w:rsidRPr="00A864C4">
              <w:rPr>
                <w:sz w:val="22"/>
                <w:lang w:val="es-ES"/>
              </w:rPr>
              <w:t xml:space="preserve"> por </w:t>
            </w:r>
            <w:r w:rsidR="00D156CD">
              <w:rPr>
                <w:sz w:val="22"/>
                <w:lang w:val="es-ES"/>
              </w:rPr>
              <w:t>«</w:t>
            </w:r>
            <w:r w:rsidRPr="00A864C4">
              <w:rPr>
                <w:sz w:val="22"/>
                <w:lang w:val="es-ES"/>
              </w:rPr>
              <w:t>considere</w:t>
            </w:r>
            <w:r w:rsidR="00D156CD">
              <w:rPr>
                <w:sz w:val="22"/>
                <w:lang w:val="es-ES"/>
              </w:rPr>
              <w:t>»</w:t>
            </w:r>
            <w:r w:rsidRPr="00A864C4">
              <w:rPr>
                <w:sz w:val="22"/>
                <w:lang w:val="es-ES"/>
              </w:rPr>
              <w:t>, como compromiso para mantener el objetivo inicial del texto sin perjuicio de las disposiciones del Reglamento de Radiocomunicaciones.</w:t>
            </w:r>
          </w:p>
          <w:p w14:paraId="7AECD6B9" w14:textId="77777777" w:rsidR="00967792" w:rsidRPr="00A864C4" w:rsidRDefault="00967792" w:rsidP="00B53355">
            <w:pPr>
              <w:spacing w:before="40" w:after="40"/>
              <w:rPr>
                <w:sz w:val="22"/>
                <w:lang w:val="es-ES"/>
              </w:rPr>
            </w:pPr>
            <w:r w:rsidRPr="00A864C4">
              <w:rPr>
                <w:sz w:val="22"/>
                <w:lang w:val="es-ES"/>
              </w:rPr>
              <w:t>3.4</w:t>
            </w:r>
            <w:r w:rsidRPr="00A864C4">
              <w:rPr>
                <w:sz w:val="22"/>
                <w:lang w:val="es-ES"/>
              </w:rPr>
              <w:tab/>
              <w:t xml:space="preserve">El </w:t>
            </w:r>
            <w:r w:rsidRPr="00A864C4">
              <w:rPr>
                <w:b/>
                <w:bCs/>
                <w:sz w:val="22"/>
                <w:lang w:val="es-ES"/>
              </w:rPr>
              <w:t>delegado de Argentina</w:t>
            </w:r>
            <w:r w:rsidRPr="00A864C4">
              <w:rPr>
                <w:sz w:val="22"/>
                <w:lang w:val="es-ES"/>
              </w:rPr>
              <w:t xml:space="preserve"> coincide con la propuesta del Director y propone que la Oficina tenga en cuenta la decisión de la plenaria y que consulte con la Junta los problemas que pudieran surgir en su aplicación. El </w:t>
            </w:r>
            <w:r w:rsidRPr="00A864C4">
              <w:rPr>
                <w:b/>
                <w:bCs/>
                <w:sz w:val="22"/>
                <w:lang w:val="es-ES"/>
              </w:rPr>
              <w:t>delegado de la República Islámica del Irán</w:t>
            </w:r>
            <w:r w:rsidRPr="00A864C4">
              <w:rPr>
                <w:sz w:val="22"/>
                <w:lang w:val="es-ES"/>
              </w:rPr>
              <w:t xml:space="preserve"> </w:t>
            </w:r>
            <w:r w:rsidRPr="00A864C4">
              <w:rPr>
                <w:sz w:val="22"/>
                <w:lang w:val="es-ES"/>
              </w:rPr>
              <w:lastRenderedPageBreak/>
              <w:t xml:space="preserve">apoya la redacción propuesta por el Director por estar en consonancia con las actuales prácticas del UIT-T, y propone que la RRB tenga en cuenta la publicación de una Regla de Procedimiento al respecto para que las administraciones formulen observaciones. </w:t>
            </w:r>
          </w:p>
          <w:p w14:paraId="6AF6838C" w14:textId="77777777" w:rsidR="00967792" w:rsidRPr="00A864C4" w:rsidRDefault="00967792" w:rsidP="00B53355">
            <w:pPr>
              <w:spacing w:before="40" w:after="40"/>
              <w:rPr>
                <w:sz w:val="22"/>
                <w:lang w:val="es-ES"/>
              </w:rPr>
            </w:pPr>
            <w:r w:rsidRPr="00A864C4">
              <w:rPr>
                <w:sz w:val="22"/>
                <w:lang w:val="es-ES"/>
              </w:rPr>
              <w:t>3.5</w:t>
            </w:r>
            <w:r w:rsidRPr="00A864C4">
              <w:rPr>
                <w:sz w:val="22"/>
                <w:lang w:val="es-ES"/>
              </w:rPr>
              <w:tab/>
              <w:t xml:space="preserve">El </w:t>
            </w:r>
            <w:r w:rsidRPr="00A864C4">
              <w:rPr>
                <w:b/>
                <w:bCs/>
                <w:sz w:val="22"/>
                <w:lang w:val="es-ES"/>
              </w:rPr>
              <w:t>Director de la BR</w:t>
            </w:r>
            <w:r w:rsidRPr="00A864C4">
              <w:rPr>
                <w:sz w:val="22"/>
                <w:lang w:val="es-ES"/>
              </w:rPr>
              <w:t xml:space="preserve"> afirma que la Oficina siempre ha de aplicar el Reglamento de Radiocomunicaciones, y que las solicitudes de las administraciones pueden someterse a la RRB. Sería complejo elaborar una Regla de Procedimiento porque ninguna regla es adecuada para todos los casos. Por ello, cada situación ha de tratarse individualmente.</w:t>
            </w:r>
          </w:p>
          <w:p w14:paraId="0E2173F2" w14:textId="77777777" w:rsidR="00967792" w:rsidRPr="00A864C4" w:rsidRDefault="00967792" w:rsidP="00B53355">
            <w:pPr>
              <w:spacing w:before="40" w:after="40"/>
              <w:rPr>
                <w:sz w:val="22"/>
                <w:lang w:val="es-ES"/>
              </w:rPr>
            </w:pPr>
            <w:r w:rsidRPr="00A864C4">
              <w:rPr>
                <w:sz w:val="22"/>
                <w:lang w:val="es-ES"/>
              </w:rPr>
              <w:t>3.6</w:t>
            </w:r>
            <w:r w:rsidRPr="00A864C4">
              <w:rPr>
                <w:sz w:val="22"/>
                <w:lang w:val="es-ES"/>
              </w:rPr>
              <w:tab/>
              <w:t xml:space="preserve">Se </w:t>
            </w:r>
            <w:r w:rsidRPr="00A864C4">
              <w:rPr>
                <w:b/>
                <w:sz w:val="22"/>
                <w:lang w:val="es-ES"/>
              </w:rPr>
              <w:t>acuerda</w:t>
            </w:r>
            <w:r w:rsidRPr="00A864C4">
              <w:rPr>
                <w:sz w:val="22"/>
                <w:lang w:val="es-ES"/>
              </w:rPr>
              <w:t xml:space="preserve"> incluir en el acta el texto enmendado siguiente, por decisión de la Conferencia:</w:t>
            </w:r>
          </w:p>
          <w:p w14:paraId="3469B58D" w14:textId="29D231B6" w:rsidR="00967792" w:rsidRPr="00A864C4" w:rsidRDefault="00394B16" w:rsidP="00B53355">
            <w:pPr>
              <w:spacing w:before="40" w:after="40"/>
              <w:rPr>
                <w:sz w:val="22"/>
                <w:lang w:val="es-ES"/>
              </w:rPr>
            </w:pPr>
            <w:r>
              <w:rPr>
                <w:sz w:val="22"/>
                <w:lang w:val="es-ES"/>
              </w:rPr>
              <w:t>«</w:t>
            </w:r>
            <w:r w:rsidR="00967792" w:rsidRPr="00A864C4">
              <w:rPr>
                <w:sz w:val="22"/>
                <w:lang w:val="es-ES"/>
              </w:rPr>
              <w:t xml:space="preserve">Antes de adoptar la decisión de modificar el número </w:t>
            </w:r>
            <w:r w:rsidR="00967792" w:rsidRPr="005776A8">
              <w:rPr>
                <w:b/>
                <w:bCs/>
                <w:sz w:val="22"/>
                <w:lang w:val="es-ES"/>
              </w:rPr>
              <w:t>11.49</w:t>
            </w:r>
            <w:r w:rsidR="00967792" w:rsidRPr="00A864C4">
              <w:rPr>
                <w:sz w:val="22"/>
                <w:lang w:val="es-ES"/>
              </w:rPr>
              <w:t xml:space="preserve"> del Reglamento de Radiocomunicaciones en el marco del punto 7 del orden del día, tema A, la CMR-15 reconoce la necesidad de promover la transparencia sin comprometer el trato equitativo de las administraciones. En particular, la CMR-15 ha examinado detalladamente las inquietudes expresadas por algunas administraciones en relación con la posible incertidumbre que podría provocar la adopción de una disposición que puede reducir el per</w:t>
            </w:r>
            <w:r w:rsidR="00A864C4">
              <w:rPr>
                <w:sz w:val="22"/>
                <w:lang w:val="es-ES"/>
              </w:rPr>
              <w:t>i</w:t>
            </w:r>
            <w:r w:rsidR="00967792" w:rsidRPr="00A864C4">
              <w:rPr>
                <w:sz w:val="22"/>
                <w:lang w:val="es-ES"/>
              </w:rPr>
              <w:t xml:space="preserve">odo de nueva puesta en servicio por la presentación fuera de plazo de información a la Oficina para la suspensión de asignaciones de frecuencias inscritas. En consecuencia, la CMR-15 decide invitar a la Junta del Reglamento de Radiocomunicaciones, en aplicación del número </w:t>
            </w:r>
            <w:r w:rsidR="00967792" w:rsidRPr="005776A8">
              <w:rPr>
                <w:b/>
                <w:bCs/>
                <w:sz w:val="22"/>
                <w:lang w:val="es-ES"/>
              </w:rPr>
              <w:t>11.49</w:t>
            </w:r>
            <w:r w:rsidR="00967792" w:rsidRPr="00A864C4">
              <w:rPr>
                <w:sz w:val="22"/>
                <w:lang w:val="es-ES"/>
              </w:rPr>
              <w:t xml:space="preserve"> en su forma revisada por la CMR-15, que considere todas las circunstancias atenuantes legítimas que podrían impedir que una administración notificante cumpliera el plazo de seis meses. Si la Oficina cuenta con información fidedigna sobre la suspensión de la utilización de una asignación de frecuencia, realizada no obstante dentro del per</w:t>
            </w:r>
            <w:r w:rsidR="00A864C4">
              <w:rPr>
                <w:sz w:val="22"/>
                <w:lang w:val="es-ES"/>
              </w:rPr>
              <w:t>i</w:t>
            </w:r>
            <w:r w:rsidR="00967792" w:rsidRPr="00A864C4">
              <w:rPr>
                <w:sz w:val="22"/>
                <w:lang w:val="es-ES"/>
              </w:rPr>
              <w:t xml:space="preserve">odo de seis meses, se alienta a la Oficina, por cortesía, a que recuerde a la administración notificante su obligación de informar a la Oficina de la suspensión en virtud del número </w:t>
            </w:r>
            <w:r w:rsidR="00967792" w:rsidRPr="005776A8">
              <w:rPr>
                <w:b/>
                <w:bCs/>
                <w:sz w:val="22"/>
                <w:lang w:val="es-ES"/>
              </w:rPr>
              <w:t>11.49</w:t>
            </w:r>
            <w:r>
              <w:rPr>
                <w:sz w:val="22"/>
                <w:lang w:val="es-ES"/>
              </w:rPr>
              <w:t>»</w:t>
            </w:r>
            <w:r w:rsidR="005776A8" w:rsidRPr="00A864C4">
              <w:rPr>
                <w:sz w:val="22"/>
                <w:lang w:val="es-ES"/>
              </w:rPr>
              <w:t>.</w:t>
            </w:r>
          </w:p>
          <w:p w14:paraId="5666A342" w14:textId="77777777" w:rsidR="00967792" w:rsidRPr="00A864C4" w:rsidRDefault="00967792" w:rsidP="00B53355">
            <w:pPr>
              <w:spacing w:before="40" w:after="40"/>
              <w:rPr>
                <w:sz w:val="22"/>
                <w:lang w:val="es-ES"/>
              </w:rPr>
            </w:pPr>
            <w:r w:rsidRPr="00A864C4">
              <w:rPr>
                <w:sz w:val="22"/>
                <w:lang w:val="es-ES"/>
              </w:rPr>
              <w:lastRenderedPageBreak/>
              <w:t>3.7</w:t>
            </w:r>
            <w:r w:rsidRPr="00A864C4">
              <w:rPr>
                <w:sz w:val="22"/>
                <w:lang w:val="es-ES"/>
              </w:rPr>
              <w:tab/>
              <w:t xml:space="preserve">El </w:t>
            </w:r>
            <w:r w:rsidRPr="00A864C4">
              <w:rPr>
                <w:b/>
                <w:bCs/>
                <w:sz w:val="22"/>
                <w:lang w:val="es-ES"/>
              </w:rPr>
              <w:t xml:space="preserve">delegado de Canadá </w:t>
            </w:r>
            <w:r w:rsidRPr="00A864C4">
              <w:rPr>
                <w:sz w:val="22"/>
                <w:lang w:val="es-ES"/>
              </w:rPr>
              <w:t>señala que el texto todavía contiene incoherencias de redacción y pide que ésta prosiga después de la reunión.</w:t>
            </w:r>
          </w:p>
          <w:p w14:paraId="3A920E4B" w14:textId="77777777" w:rsidR="00967792" w:rsidRPr="00A864C4" w:rsidRDefault="00967792" w:rsidP="00B53355">
            <w:pPr>
              <w:spacing w:before="40" w:after="40"/>
              <w:rPr>
                <w:b/>
                <w:bCs/>
                <w:sz w:val="22"/>
                <w:lang w:val="es-ES"/>
              </w:rPr>
            </w:pPr>
            <w:r w:rsidRPr="00A864C4">
              <w:rPr>
                <w:sz w:val="22"/>
                <w:lang w:val="es-ES"/>
              </w:rPr>
              <w:t>3.8</w:t>
            </w:r>
            <w:r w:rsidRPr="00A864C4">
              <w:rPr>
                <w:sz w:val="22"/>
                <w:lang w:val="es-ES"/>
              </w:rPr>
              <w:tab/>
              <w:t xml:space="preserve">Así se </w:t>
            </w:r>
            <w:r w:rsidRPr="00A864C4">
              <w:rPr>
                <w:b/>
                <w:sz w:val="22"/>
                <w:lang w:val="es-ES"/>
              </w:rPr>
              <w:t>acuerda</w:t>
            </w:r>
            <w:r w:rsidRPr="00A864C4">
              <w:rPr>
                <w:b/>
                <w:bCs/>
                <w:sz w:val="22"/>
                <w:lang w:val="es-ES"/>
              </w:rPr>
              <w:t>.</w:t>
            </w:r>
          </w:p>
          <w:p w14:paraId="103B1BA1" w14:textId="77777777" w:rsidR="00967792" w:rsidRPr="00A864C4" w:rsidRDefault="00967792" w:rsidP="00B53355">
            <w:pPr>
              <w:spacing w:before="40" w:after="40"/>
              <w:rPr>
                <w:b/>
                <w:sz w:val="22"/>
                <w:lang w:val="es-ES"/>
              </w:rPr>
            </w:pPr>
            <w:r w:rsidRPr="00A864C4">
              <w:rPr>
                <w:b/>
                <w:sz w:val="22"/>
                <w:lang w:val="es-ES"/>
              </w:rPr>
              <w:t>Artículo 11 (MOD 11.49, MOD 11.49.1); Apéndice 30 (MOD 5.2.10, MOD 20</w:t>
            </w:r>
            <w:r w:rsidRPr="00A864C4">
              <w:rPr>
                <w:b/>
                <w:i/>
                <w:iCs/>
                <w:sz w:val="22"/>
                <w:lang w:val="es-ES"/>
              </w:rPr>
              <w:t>bis</w:t>
            </w:r>
            <w:r w:rsidRPr="00A864C4">
              <w:rPr>
                <w:b/>
                <w:sz w:val="22"/>
                <w:lang w:val="es-ES"/>
              </w:rPr>
              <w:t>); Apéndice 30A (MOD 5.2.10, MOD 24</w:t>
            </w:r>
            <w:r w:rsidRPr="00A864C4">
              <w:rPr>
                <w:b/>
                <w:i/>
                <w:iCs/>
                <w:sz w:val="22"/>
                <w:lang w:val="es-ES"/>
              </w:rPr>
              <w:t>bis</w:t>
            </w:r>
            <w:r w:rsidRPr="00A864C4">
              <w:rPr>
                <w:b/>
                <w:sz w:val="22"/>
                <w:lang w:val="es-ES"/>
              </w:rPr>
              <w:t>); Apéndice 30B (MOD 8.17, ADD 14</w:t>
            </w:r>
            <w:r w:rsidRPr="00A864C4">
              <w:rPr>
                <w:b/>
                <w:i/>
                <w:iCs/>
                <w:sz w:val="22"/>
                <w:lang w:val="es-ES"/>
              </w:rPr>
              <w:t>bis</w:t>
            </w:r>
            <w:r w:rsidRPr="00A864C4">
              <w:rPr>
                <w:b/>
                <w:sz w:val="22"/>
                <w:lang w:val="es-ES"/>
              </w:rPr>
              <w:t>)</w:t>
            </w:r>
          </w:p>
          <w:p w14:paraId="469FB4CC" w14:textId="77777777" w:rsidR="00967792" w:rsidRPr="002D0088" w:rsidRDefault="00967792" w:rsidP="00B53355">
            <w:pPr>
              <w:spacing w:before="40" w:after="40"/>
              <w:rPr>
                <w:sz w:val="22"/>
                <w:lang w:val="es-ES"/>
              </w:rPr>
            </w:pPr>
            <w:r w:rsidRPr="00A864C4">
              <w:rPr>
                <w:sz w:val="22"/>
                <w:lang w:val="es-ES"/>
              </w:rPr>
              <w:t>3.9</w:t>
            </w:r>
            <w:r w:rsidRPr="00A864C4">
              <w:rPr>
                <w:sz w:val="22"/>
                <w:lang w:val="es-ES"/>
              </w:rPr>
              <w:tab/>
            </w:r>
            <w:r w:rsidRPr="00A864C4">
              <w:rPr>
                <w:b/>
                <w:bCs/>
                <w:sz w:val="22"/>
                <w:lang w:val="es-ES"/>
              </w:rPr>
              <w:t>Se aprueban</w:t>
            </w:r>
            <w:r w:rsidRPr="002D0088">
              <w:rPr>
                <w:sz w:val="22"/>
                <w:lang w:val="es-ES"/>
              </w:rPr>
              <w:t>.</w:t>
            </w:r>
          </w:p>
          <w:p w14:paraId="767B2012" w14:textId="7C3A89FB" w:rsidR="00967792" w:rsidRPr="00A864C4" w:rsidRDefault="00967792" w:rsidP="00B53355">
            <w:pPr>
              <w:spacing w:before="40" w:after="40"/>
              <w:rPr>
                <w:sz w:val="22"/>
                <w:lang w:val="es-ES"/>
              </w:rPr>
            </w:pPr>
            <w:r w:rsidRPr="00A864C4">
              <w:rPr>
                <w:sz w:val="22"/>
                <w:lang w:val="es-ES"/>
              </w:rPr>
              <w:t>3.10</w:t>
            </w:r>
            <w:r w:rsidRPr="00A864C4">
              <w:rPr>
                <w:sz w:val="22"/>
                <w:lang w:val="es-ES"/>
              </w:rPr>
              <w:tab/>
              <w:t xml:space="preserve">Tras incluir en el acta el texto decidido por la Conferencia, se </w:t>
            </w:r>
            <w:r w:rsidRPr="00A864C4">
              <w:rPr>
                <w:b/>
                <w:sz w:val="22"/>
                <w:lang w:val="es-ES"/>
              </w:rPr>
              <w:t>aprueba</w:t>
            </w:r>
            <w:r w:rsidRPr="00A864C4">
              <w:rPr>
                <w:sz w:val="22"/>
                <w:lang w:val="es-ES"/>
              </w:rPr>
              <w:t xml:space="preserve"> la decimosexta serie de textos sometidos por la Comisión de Redacción en primera lectura (B16) (Documento 453).</w:t>
            </w:r>
          </w:p>
        </w:tc>
        <w:tc>
          <w:tcPr>
            <w:tcW w:w="1548" w:type="pct"/>
          </w:tcPr>
          <w:p w14:paraId="79436D6A" w14:textId="16FD4A3C" w:rsidR="00967792" w:rsidRPr="00D2027A" w:rsidRDefault="00967792" w:rsidP="00A864C4">
            <w:pPr>
              <w:pStyle w:val="Tabletext"/>
              <w:rPr>
                <w:rFonts w:asciiTheme="majorBidi" w:hAnsiTheme="majorBidi" w:cstheme="majorBidi"/>
                <w:bCs/>
                <w:lang w:val="es-ES"/>
              </w:rPr>
            </w:pPr>
            <w:r w:rsidRPr="00D2027A">
              <w:rPr>
                <w:rFonts w:asciiTheme="majorBidi" w:hAnsiTheme="majorBidi" w:cstheme="majorBidi"/>
                <w:bCs/>
                <w:lang w:val="es-ES"/>
              </w:rPr>
              <w:lastRenderedPageBreak/>
              <w:t>La Junta aplica esas consideraciones al examinar las presentaciones con arreglo al núm</w:t>
            </w:r>
            <w:r w:rsidR="00A864C4">
              <w:rPr>
                <w:rFonts w:asciiTheme="majorBidi" w:hAnsiTheme="majorBidi" w:cstheme="majorBidi"/>
                <w:bCs/>
                <w:lang w:val="es-ES"/>
              </w:rPr>
              <w:t>ero </w:t>
            </w:r>
            <w:r w:rsidRPr="00D2027A">
              <w:rPr>
                <w:rFonts w:asciiTheme="majorBidi" w:hAnsiTheme="majorBidi" w:cstheme="majorBidi"/>
                <w:b/>
                <w:lang w:val="es-ES"/>
              </w:rPr>
              <w:t>11.49</w:t>
            </w:r>
            <w:r w:rsidRPr="00D2027A">
              <w:rPr>
                <w:rFonts w:asciiTheme="majorBidi" w:hAnsiTheme="majorBidi" w:cstheme="majorBidi"/>
                <w:bCs/>
                <w:lang w:val="es-ES"/>
              </w:rPr>
              <w:t xml:space="preserve"> del RR.</w:t>
            </w:r>
          </w:p>
          <w:p w14:paraId="0DAFA193" w14:textId="075D153E" w:rsidR="00967792" w:rsidRPr="00D2027A" w:rsidDel="009440F5" w:rsidRDefault="00967792" w:rsidP="00B53355">
            <w:pPr>
              <w:pStyle w:val="Tabletext"/>
              <w:rPr>
                <w:rFonts w:asciiTheme="majorBidi" w:hAnsiTheme="majorBidi" w:cstheme="majorBidi"/>
                <w:szCs w:val="24"/>
                <w:lang w:val="es-ES"/>
              </w:rPr>
            </w:pPr>
            <w:r w:rsidRPr="00D2027A">
              <w:rPr>
                <w:rFonts w:asciiTheme="majorBidi" w:hAnsiTheme="majorBidi" w:cstheme="majorBidi"/>
                <w:bCs/>
                <w:lang w:val="es-ES"/>
              </w:rPr>
              <w:t xml:space="preserve">La Junta decide incluir la decisión siguiente </w:t>
            </w:r>
            <w:r w:rsidRPr="00266695">
              <w:rPr>
                <w:lang w:val="es-ES"/>
              </w:rPr>
              <w:t>como</w:t>
            </w:r>
            <w:r w:rsidRPr="00D2027A">
              <w:rPr>
                <w:rFonts w:asciiTheme="majorBidi" w:hAnsiTheme="majorBidi" w:cstheme="majorBidi"/>
                <w:bCs/>
                <w:lang w:val="es-ES"/>
              </w:rPr>
              <w:t xml:space="preserve"> nota en la Regla de Procedimiento correspondiente al núm</w:t>
            </w:r>
            <w:r w:rsidR="00A864C4">
              <w:rPr>
                <w:rFonts w:asciiTheme="majorBidi" w:hAnsiTheme="majorBidi" w:cstheme="majorBidi"/>
                <w:bCs/>
                <w:lang w:val="es-ES"/>
              </w:rPr>
              <w:t>ero</w:t>
            </w:r>
            <w:r w:rsidRPr="00D2027A">
              <w:rPr>
                <w:rFonts w:asciiTheme="majorBidi" w:hAnsiTheme="majorBidi" w:cstheme="majorBidi"/>
                <w:bCs/>
                <w:lang w:val="es-ES"/>
              </w:rPr>
              <w:t xml:space="preserve"> </w:t>
            </w:r>
            <w:r w:rsidRPr="00D2027A">
              <w:rPr>
                <w:rFonts w:asciiTheme="majorBidi" w:hAnsiTheme="majorBidi" w:cstheme="majorBidi"/>
                <w:b/>
                <w:lang w:val="es-ES"/>
              </w:rPr>
              <w:t>11.49</w:t>
            </w:r>
            <w:r w:rsidRPr="00D2027A">
              <w:rPr>
                <w:rFonts w:asciiTheme="majorBidi" w:hAnsiTheme="majorBidi" w:cstheme="majorBidi"/>
                <w:bCs/>
                <w:lang w:val="es-ES"/>
              </w:rPr>
              <w:t xml:space="preserve"> del RR, en su 73ª reunión (</w:t>
            </w:r>
            <w:hyperlink r:id="rId200" w:history="1">
              <w:r w:rsidRPr="00D2027A">
                <w:rPr>
                  <w:rStyle w:val="Hyperlink"/>
                  <w:rFonts w:asciiTheme="majorBidi" w:hAnsiTheme="majorBidi" w:cstheme="majorBidi"/>
                  <w:bCs/>
                  <w:lang w:val="es-ES"/>
                </w:rPr>
                <w:t>CR/412</w:t>
              </w:r>
            </w:hyperlink>
            <w:r w:rsidRPr="00D2027A">
              <w:rPr>
                <w:rFonts w:asciiTheme="majorBidi" w:hAnsiTheme="majorBidi" w:cstheme="majorBidi"/>
                <w:bCs/>
                <w:lang w:val="es-ES"/>
              </w:rPr>
              <w:t>).</w:t>
            </w:r>
          </w:p>
        </w:tc>
      </w:tr>
      <w:tr w:rsidR="00967792" w:rsidRPr="00D2027A" w14:paraId="062A86AD" w14:textId="77777777" w:rsidTr="00924C8B">
        <w:trPr>
          <w:jc w:val="center"/>
        </w:trPr>
        <w:tc>
          <w:tcPr>
            <w:tcW w:w="183" w:type="pct"/>
          </w:tcPr>
          <w:p w14:paraId="69950F67" w14:textId="0BF12205" w:rsidR="00967792" w:rsidRPr="00A616CA" w:rsidRDefault="00967792" w:rsidP="00B53355">
            <w:pPr>
              <w:pStyle w:val="Tabletext"/>
              <w:rPr>
                <w:lang w:val="es-ES"/>
              </w:rPr>
            </w:pPr>
            <w:r w:rsidRPr="00A616CA">
              <w:rPr>
                <w:lang w:val="es-ES"/>
              </w:rPr>
              <w:lastRenderedPageBreak/>
              <w:t>58</w:t>
            </w:r>
          </w:p>
        </w:tc>
        <w:tc>
          <w:tcPr>
            <w:tcW w:w="434" w:type="pct"/>
          </w:tcPr>
          <w:p w14:paraId="167CD570" w14:textId="3532266A" w:rsidR="00967792" w:rsidRPr="00A616CA" w:rsidRDefault="00967792" w:rsidP="00B53355">
            <w:pPr>
              <w:pStyle w:val="Tabletext"/>
              <w:rPr>
                <w:lang w:val="es-ES"/>
              </w:rPr>
            </w:pPr>
            <w:r w:rsidRPr="00A616CA">
              <w:rPr>
                <w:lang w:val="es-ES"/>
              </w:rPr>
              <w:t>CMR-15</w:t>
            </w:r>
          </w:p>
        </w:tc>
        <w:tc>
          <w:tcPr>
            <w:tcW w:w="523" w:type="pct"/>
          </w:tcPr>
          <w:p w14:paraId="6130445C" w14:textId="3BBE46A7" w:rsidR="00967792" w:rsidRPr="00D2027A" w:rsidRDefault="00967792" w:rsidP="00A864C4">
            <w:pPr>
              <w:pStyle w:val="Tabletext"/>
              <w:rPr>
                <w:rFonts w:asciiTheme="majorBidi" w:hAnsiTheme="majorBidi" w:cstheme="majorBidi"/>
                <w:bCs/>
                <w:szCs w:val="24"/>
                <w:lang w:val="es-ES"/>
              </w:rPr>
            </w:pPr>
            <w:r w:rsidRPr="00D2027A">
              <w:rPr>
                <w:rFonts w:asciiTheme="majorBidi" w:hAnsiTheme="majorBidi" w:cstheme="majorBidi"/>
                <w:bCs/>
                <w:szCs w:val="24"/>
                <w:lang w:val="es-ES"/>
              </w:rPr>
              <w:t>13ª Plenaria</w:t>
            </w:r>
            <w:r w:rsidR="002D0088">
              <w:rPr>
                <w:rFonts w:asciiTheme="majorBidi" w:hAnsiTheme="majorBidi" w:cstheme="majorBidi"/>
                <w:bCs/>
                <w:szCs w:val="24"/>
                <w:lang w:val="es-ES"/>
              </w:rPr>
              <w:br/>
            </w:r>
            <w:hyperlink r:id="rId201">
              <w:r w:rsidRPr="00D2027A">
                <w:rPr>
                  <w:rStyle w:val="Hyperlink"/>
                  <w:rFonts w:asciiTheme="majorBidi" w:hAnsiTheme="majorBidi" w:cstheme="majorBidi"/>
                  <w:bCs/>
                  <w:szCs w:val="24"/>
                  <w:lang w:val="es-ES"/>
                </w:rPr>
                <w:t>Doc. CMR15/510</w:t>
              </w:r>
            </w:hyperlink>
          </w:p>
          <w:p w14:paraId="4E14D632" w14:textId="72B97999" w:rsidR="00967792" w:rsidRPr="00D2027A" w:rsidRDefault="00967792" w:rsidP="00A864C4">
            <w:pPr>
              <w:pStyle w:val="Tabletext"/>
              <w:rPr>
                <w:rFonts w:asciiTheme="majorBidi" w:hAnsiTheme="majorBidi" w:cstheme="majorBidi"/>
                <w:bCs/>
                <w:szCs w:val="24"/>
                <w:lang w:val="es-ES"/>
              </w:rPr>
            </w:pPr>
            <w:r w:rsidRPr="00A864C4">
              <w:rPr>
                <w:lang w:val="es-ES"/>
              </w:rPr>
              <w:t>Aprobación</w:t>
            </w:r>
            <w:r w:rsidRPr="00D2027A">
              <w:rPr>
                <w:rFonts w:asciiTheme="majorBidi" w:hAnsiTheme="majorBidi" w:cstheme="majorBidi"/>
                <w:bCs/>
                <w:szCs w:val="24"/>
                <w:lang w:val="es-ES"/>
              </w:rPr>
              <w:t xml:space="preserve"> del Doc</w:t>
            </w:r>
            <w:r w:rsidR="002D0088">
              <w:rPr>
                <w:rFonts w:asciiTheme="majorBidi" w:hAnsiTheme="majorBidi" w:cstheme="majorBidi"/>
                <w:bCs/>
                <w:szCs w:val="24"/>
                <w:lang w:val="es-ES"/>
              </w:rPr>
              <w:t xml:space="preserve">umento </w:t>
            </w:r>
            <w:r w:rsidRPr="00D2027A">
              <w:rPr>
                <w:rFonts w:asciiTheme="majorBidi" w:hAnsiTheme="majorBidi" w:cstheme="majorBidi"/>
                <w:bCs/>
                <w:szCs w:val="24"/>
                <w:lang w:val="es-ES"/>
              </w:rPr>
              <w:t>CMR15/468</w:t>
            </w:r>
          </w:p>
        </w:tc>
        <w:tc>
          <w:tcPr>
            <w:tcW w:w="2312" w:type="pct"/>
          </w:tcPr>
          <w:p w14:paraId="2EA266F2" w14:textId="77777777" w:rsidR="00967792" w:rsidRPr="00A864C4" w:rsidRDefault="00967792" w:rsidP="00B53355">
            <w:pPr>
              <w:spacing w:before="40" w:after="40"/>
              <w:rPr>
                <w:sz w:val="22"/>
                <w:lang w:val="es-ES"/>
              </w:rPr>
            </w:pPr>
            <w:r w:rsidRPr="00A864C4">
              <w:rPr>
                <w:sz w:val="22"/>
                <w:lang w:val="es-ES"/>
              </w:rPr>
              <w:t>7.13</w:t>
            </w:r>
            <w:r w:rsidRPr="00A864C4">
              <w:rPr>
                <w:sz w:val="22"/>
                <w:lang w:val="es-ES"/>
              </w:rPr>
              <w:tab/>
              <w:t xml:space="preserve">El </w:t>
            </w:r>
            <w:r w:rsidRPr="00A864C4">
              <w:rPr>
                <w:b/>
                <w:bCs/>
                <w:sz w:val="22"/>
                <w:lang w:val="es-ES"/>
              </w:rPr>
              <w:t>Presidente de la Comisión 5</w:t>
            </w:r>
            <w:r w:rsidRPr="00A864C4">
              <w:rPr>
                <w:sz w:val="22"/>
                <w:lang w:val="es-ES"/>
              </w:rPr>
              <w:t xml:space="preserve"> presenta el Documento 468 en el que se consignan los debates relativos a la fecha de admisibilidad de las solicitudes de coordinación para la nueva atribución al SFS en la banda 13,4-13,65 GHz. </w:t>
            </w:r>
            <w:bookmarkStart w:id="18" w:name="lt_pId035"/>
            <w:r w:rsidRPr="00A864C4">
              <w:rPr>
                <w:sz w:val="22"/>
                <w:lang w:val="es-ES"/>
              </w:rPr>
              <w:t>Durante los debates se manifestaron dos puntos de vista divergentes, uno a favor de la adopción de una fecha posterior de seis meses como mínimo antes de la conferencia, a partir de la cual todas las solicitudes de coordinación recibidas por la Oficina sobre esta banda de frecuencias serán admisibles, y otro a favor de mantener la práctica actual de la Oficina, a saber, la adopción de una fecha anterior a la entrada en vigor de las Actas Finales ya que la Conferencia ha tomado una decisión sobre la banda de frecuencia del caso y que se puede llegar a conclusiones «favorables con reserva» acerca de las solicitudes de coordinación presentadas para esta banda.</w:t>
            </w:r>
            <w:bookmarkEnd w:id="18"/>
            <w:r w:rsidRPr="00A864C4">
              <w:rPr>
                <w:sz w:val="22"/>
                <w:lang w:val="es-ES"/>
              </w:rPr>
              <w:t xml:space="preserve"> </w:t>
            </w:r>
            <w:bookmarkStart w:id="19" w:name="lt_pId036"/>
            <w:r w:rsidRPr="00A864C4">
              <w:rPr>
                <w:sz w:val="22"/>
                <w:lang w:val="es-ES"/>
              </w:rPr>
              <w:t>Como no se ha podido conciliar los dos puntos de vista y el texto de compromiso propuesto a tal efecto no se ha adoptado, el Presidente de la Comisión 5 solicita a la Oficina que aporte información detallada sobre su práctica en esta materia a fin de encontrar una solución a este asunto aún pendiente.</w:t>
            </w:r>
            <w:bookmarkEnd w:id="19"/>
          </w:p>
          <w:p w14:paraId="27540E9C" w14:textId="5AD8042D" w:rsidR="00967792" w:rsidRPr="00A864C4" w:rsidRDefault="00967792" w:rsidP="00B53355">
            <w:pPr>
              <w:spacing w:before="40" w:after="40"/>
              <w:rPr>
                <w:sz w:val="22"/>
                <w:lang w:val="es-ES"/>
              </w:rPr>
            </w:pPr>
            <w:bookmarkStart w:id="20" w:name="lt_pId037"/>
            <w:r w:rsidRPr="00A864C4">
              <w:rPr>
                <w:sz w:val="22"/>
                <w:lang w:val="es-ES"/>
              </w:rPr>
              <w:t>7.14</w:t>
            </w:r>
            <w:r w:rsidRPr="00A864C4">
              <w:rPr>
                <w:sz w:val="22"/>
                <w:lang w:val="es-ES"/>
              </w:rPr>
              <w:tab/>
              <w:t xml:space="preserve">El </w:t>
            </w:r>
            <w:r w:rsidRPr="00A864C4">
              <w:rPr>
                <w:b/>
                <w:bCs/>
                <w:sz w:val="22"/>
                <w:lang w:val="es-ES"/>
              </w:rPr>
              <w:t>representante de la BR</w:t>
            </w:r>
            <w:r w:rsidRPr="00A864C4">
              <w:rPr>
                <w:sz w:val="22"/>
                <w:lang w:val="es-ES"/>
              </w:rPr>
              <w:t xml:space="preserve"> explica que cuando se recibe una petición de coordinación para una atribución que ha sido objeto de una decisión de una Conferencia, pero que aún no está vigor, la Oficina aplica el §</w:t>
            </w:r>
            <w:r w:rsidR="00394B16">
              <w:rPr>
                <w:sz w:val="22"/>
                <w:lang w:val="es-ES"/>
              </w:rPr>
              <w:t> </w:t>
            </w:r>
            <w:r w:rsidRPr="00A864C4">
              <w:rPr>
                <w:sz w:val="22"/>
                <w:lang w:val="es-ES"/>
              </w:rPr>
              <w:t xml:space="preserve">3.3 de la Regla de Procedimiento relativa al número </w:t>
            </w:r>
            <w:r w:rsidRPr="00142FFB">
              <w:rPr>
                <w:b/>
                <w:bCs/>
                <w:sz w:val="22"/>
                <w:lang w:val="es-ES"/>
              </w:rPr>
              <w:t>9.11A</w:t>
            </w:r>
            <w:r w:rsidRPr="00A864C4">
              <w:rPr>
                <w:sz w:val="22"/>
                <w:lang w:val="es-ES"/>
              </w:rPr>
              <w:t>.</w:t>
            </w:r>
            <w:bookmarkEnd w:id="20"/>
            <w:r w:rsidRPr="00A864C4">
              <w:rPr>
                <w:sz w:val="22"/>
                <w:lang w:val="es-ES"/>
              </w:rPr>
              <w:t xml:space="preserve"> </w:t>
            </w:r>
            <w:bookmarkStart w:id="21" w:name="lt_pId038"/>
            <w:r w:rsidRPr="00A864C4">
              <w:rPr>
                <w:sz w:val="22"/>
                <w:lang w:val="es-ES"/>
              </w:rPr>
              <w:t xml:space="preserve">La Oficina manifiesta luego una conclusión «favorable con reservas» </w:t>
            </w:r>
            <w:r w:rsidRPr="00A864C4">
              <w:rPr>
                <w:sz w:val="22"/>
                <w:lang w:val="es-ES"/>
              </w:rPr>
              <w:lastRenderedPageBreak/>
              <w:t>(se convertirá en favorable en la fecha de entrada en vigor de la atribución) si, en la fecha en que la Oficina recibe la petición de coordinación la atribución del caso no está en vigor pero entrará en vigor antes de la fecha prevista de puesta en servicio de la asignación.</w:t>
            </w:r>
            <w:bookmarkEnd w:id="21"/>
            <w:r w:rsidRPr="00A864C4">
              <w:rPr>
                <w:sz w:val="22"/>
                <w:lang w:val="es-ES"/>
              </w:rPr>
              <w:t xml:space="preserve"> </w:t>
            </w:r>
            <w:bookmarkStart w:id="22" w:name="lt_pId039"/>
            <w:r w:rsidRPr="00A864C4">
              <w:rPr>
                <w:sz w:val="22"/>
                <w:lang w:val="es-ES"/>
              </w:rPr>
              <w:t>Este tipo de conclusión permite coordinar asignaciones de la red del caso y tener en cuenta esa red en aplicación del número 9.27.</w:t>
            </w:r>
            <w:bookmarkEnd w:id="22"/>
          </w:p>
          <w:p w14:paraId="5EC12F17" w14:textId="77777777" w:rsidR="00967792" w:rsidRPr="00A864C4" w:rsidRDefault="00967792" w:rsidP="00B53355">
            <w:pPr>
              <w:spacing w:before="40" w:after="40"/>
              <w:rPr>
                <w:sz w:val="22"/>
                <w:lang w:val="es-ES"/>
              </w:rPr>
            </w:pPr>
            <w:bookmarkStart w:id="23" w:name="lt_pId040"/>
            <w:r w:rsidRPr="00A864C4">
              <w:rPr>
                <w:sz w:val="22"/>
                <w:lang w:val="es-ES"/>
              </w:rPr>
              <w:t>7.15</w:t>
            </w:r>
            <w:r w:rsidRPr="00A864C4">
              <w:rPr>
                <w:sz w:val="22"/>
                <w:lang w:val="es-ES"/>
              </w:rPr>
              <w:tab/>
              <w:t xml:space="preserve">El </w:t>
            </w:r>
            <w:r w:rsidRPr="00A864C4">
              <w:rPr>
                <w:b/>
                <w:bCs/>
                <w:sz w:val="22"/>
                <w:lang w:val="es-ES"/>
              </w:rPr>
              <w:t xml:space="preserve">delegado de la República Islámica del Irán </w:t>
            </w:r>
            <w:r w:rsidRPr="00A864C4">
              <w:rPr>
                <w:sz w:val="22"/>
                <w:lang w:val="es-ES"/>
              </w:rPr>
              <w:t xml:space="preserve">recuerda que esta práctica no se aplica a la atribución en cuestión, sino a las relativas al número </w:t>
            </w:r>
            <w:r w:rsidRPr="00142FFB">
              <w:rPr>
                <w:b/>
                <w:bCs/>
                <w:sz w:val="22"/>
                <w:lang w:val="es-ES"/>
              </w:rPr>
              <w:t>9.11A</w:t>
            </w:r>
            <w:r w:rsidRPr="00A864C4">
              <w:rPr>
                <w:sz w:val="22"/>
                <w:lang w:val="es-ES"/>
              </w:rPr>
              <w:t>.</w:t>
            </w:r>
            <w:bookmarkEnd w:id="23"/>
            <w:r w:rsidRPr="00A864C4">
              <w:rPr>
                <w:sz w:val="22"/>
                <w:lang w:val="es-ES"/>
              </w:rPr>
              <w:t xml:space="preserve"> </w:t>
            </w:r>
            <w:bookmarkStart w:id="24" w:name="lt_pId041"/>
            <w:r w:rsidRPr="00A864C4">
              <w:rPr>
                <w:sz w:val="22"/>
                <w:lang w:val="es-ES"/>
              </w:rPr>
              <w:t>Aduce que admitir que se podría ampliar la aplicación de estas conclusiones favorables con reservas a la banda que nos ocupa, significa admitir que esta opción no permitirá conciliar los dos puntos de vista.</w:t>
            </w:r>
            <w:bookmarkEnd w:id="24"/>
          </w:p>
          <w:p w14:paraId="34387CF1" w14:textId="77777777" w:rsidR="00967792" w:rsidRPr="00A864C4" w:rsidRDefault="00967792" w:rsidP="00B53355">
            <w:pPr>
              <w:spacing w:before="40" w:after="40"/>
              <w:rPr>
                <w:sz w:val="22"/>
                <w:lang w:val="es-ES"/>
              </w:rPr>
            </w:pPr>
            <w:bookmarkStart w:id="25" w:name="lt_pId042"/>
            <w:r w:rsidRPr="00A864C4">
              <w:rPr>
                <w:sz w:val="22"/>
                <w:lang w:val="es-ES"/>
              </w:rPr>
              <w:t>7.16</w:t>
            </w:r>
            <w:r w:rsidRPr="00A864C4">
              <w:rPr>
                <w:sz w:val="22"/>
                <w:lang w:val="es-ES"/>
              </w:rPr>
              <w:tab/>
              <w:t xml:space="preserve">El </w:t>
            </w:r>
            <w:r w:rsidRPr="00A864C4">
              <w:rPr>
                <w:b/>
                <w:bCs/>
                <w:sz w:val="22"/>
                <w:lang w:val="es-ES"/>
              </w:rPr>
              <w:t xml:space="preserve">delegado de Noruega </w:t>
            </w:r>
            <w:r w:rsidRPr="00A864C4">
              <w:rPr>
                <w:sz w:val="22"/>
                <w:lang w:val="es-ES"/>
              </w:rPr>
              <w:t xml:space="preserve">subraya que el número </w:t>
            </w:r>
            <w:r w:rsidRPr="00142FFB">
              <w:rPr>
                <w:b/>
                <w:bCs/>
                <w:sz w:val="22"/>
                <w:lang w:val="es-ES"/>
              </w:rPr>
              <w:t>9.11A</w:t>
            </w:r>
            <w:r w:rsidRPr="00A864C4">
              <w:rPr>
                <w:sz w:val="22"/>
                <w:lang w:val="es-ES"/>
              </w:rPr>
              <w:t xml:space="preserve"> trata de la coordinación entre sistemas que utilizan la órbita geoestacionaria y sistemas de satélites no geoestacionarios y, por ende, no tiene nada que ver con el caso que nos ocupa.</w:t>
            </w:r>
            <w:bookmarkEnd w:id="25"/>
            <w:r w:rsidRPr="00A864C4">
              <w:rPr>
                <w:sz w:val="22"/>
                <w:lang w:val="es-ES"/>
              </w:rPr>
              <w:t xml:space="preserve"> </w:t>
            </w:r>
            <w:bookmarkStart w:id="26" w:name="lt_pId043"/>
            <w:r w:rsidRPr="00A864C4">
              <w:rPr>
                <w:sz w:val="22"/>
                <w:lang w:val="es-ES"/>
              </w:rPr>
              <w:t xml:space="preserve">Desea saber si la Regla de Procedimiento se aplica igualmente a la publicación anticipada y a la coordinación relativa a otros números del Reglamento de Radiocomunicaciones aparte del </w:t>
            </w:r>
            <w:r w:rsidRPr="00142FFB">
              <w:rPr>
                <w:b/>
                <w:bCs/>
                <w:sz w:val="22"/>
                <w:lang w:val="es-ES"/>
              </w:rPr>
              <w:t>9.11A</w:t>
            </w:r>
            <w:r w:rsidRPr="00A864C4">
              <w:rPr>
                <w:sz w:val="22"/>
                <w:lang w:val="es-ES"/>
              </w:rPr>
              <w:t>.</w:t>
            </w:r>
            <w:bookmarkEnd w:id="26"/>
          </w:p>
          <w:p w14:paraId="761DFF7E" w14:textId="77777777" w:rsidR="00967792" w:rsidRPr="00A864C4" w:rsidRDefault="00967792" w:rsidP="00B53355">
            <w:pPr>
              <w:spacing w:before="40" w:after="40"/>
              <w:rPr>
                <w:sz w:val="22"/>
                <w:lang w:val="es-ES"/>
              </w:rPr>
            </w:pPr>
            <w:bookmarkStart w:id="27" w:name="lt_pId044"/>
            <w:r w:rsidRPr="00A864C4">
              <w:rPr>
                <w:sz w:val="22"/>
                <w:lang w:val="es-ES"/>
              </w:rPr>
              <w:t>7.17</w:t>
            </w:r>
            <w:r w:rsidRPr="00A864C4">
              <w:rPr>
                <w:sz w:val="22"/>
                <w:lang w:val="es-ES"/>
              </w:rPr>
              <w:tab/>
              <w:t xml:space="preserve">El </w:t>
            </w:r>
            <w:r w:rsidRPr="00A864C4">
              <w:rPr>
                <w:b/>
                <w:bCs/>
                <w:sz w:val="22"/>
                <w:lang w:val="es-ES"/>
              </w:rPr>
              <w:t>representante de la BR</w:t>
            </w:r>
            <w:r w:rsidRPr="00A864C4">
              <w:rPr>
                <w:sz w:val="22"/>
                <w:lang w:val="es-ES"/>
              </w:rPr>
              <w:t xml:space="preserve"> responde que esta Regla de Procedimiento no se aplica a la publicación anticipada que no requiera un examen reglamentario, por lo que la información relativa a las atribuciones objeto de publicación anticipada se publican en la fecha de su recepción.</w:t>
            </w:r>
            <w:bookmarkEnd w:id="27"/>
          </w:p>
          <w:p w14:paraId="77DF6BB9" w14:textId="402DB99A" w:rsidR="00967792" w:rsidRPr="00A864C4" w:rsidRDefault="00967792" w:rsidP="00B53355">
            <w:pPr>
              <w:spacing w:before="40" w:after="40"/>
              <w:rPr>
                <w:sz w:val="22"/>
                <w:lang w:val="es-ES"/>
              </w:rPr>
            </w:pPr>
            <w:bookmarkStart w:id="28" w:name="lt_pId045"/>
            <w:r w:rsidRPr="00A864C4">
              <w:rPr>
                <w:sz w:val="22"/>
                <w:lang w:val="es-ES"/>
              </w:rPr>
              <w:t>7.18</w:t>
            </w:r>
            <w:r w:rsidRPr="00A864C4">
              <w:rPr>
                <w:sz w:val="22"/>
                <w:lang w:val="es-ES"/>
              </w:rPr>
              <w:tab/>
              <w:t xml:space="preserve">El </w:t>
            </w:r>
            <w:r w:rsidRPr="00A864C4">
              <w:rPr>
                <w:b/>
                <w:bCs/>
                <w:sz w:val="22"/>
                <w:lang w:val="es-ES"/>
              </w:rPr>
              <w:t xml:space="preserve">delegado del Reino Unido </w:t>
            </w:r>
            <w:r w:rsidRPr="00A864C4">
              <w:rPr>
                <w:sz w:val="22"/>
                <w:lang w:val="es-ES"/>
              </w:rPr>
              <w:t>hace suyas las preocupaciones del delegado de Noruega.</w:t>
            </w:r>
            <w:bookmarkEnd w:id="28"/>
            <w:r w:rsidRPr="00A864C4">
              <w:rPr>
                <w:sz w:val="22"/>
                <w:lang w:val="es-ES"/>
              </w:rPr>
              <w:t xml:space="preserve"> </w:t>
            </w:r>
            <w:bookmarkStart w:id="29" w:name="lt_pId046"/>
            <w:r w:rsidRPr="00A864C4">
              <w:rPr>
                <w:sz w:val="22"/>
                <w:lang w:val="es-ES"/>
              </w:rPr>
              <w:t>Según se ha explicado, cuando la Oficina recibe información para la publicación anticipada de una banda de frecuencias no atribuida en el Cuadro de atribución de bandas de frecuencias, aplica el §</w:t>
            </w:r>
            <w:r w:rsidR="00A865C3">
              <w:rPr>
                <w:sz w:val="22"/>
                <w:lang w:val="es-ES"/>
              </w:rPr>
              <w:t> </w:t>
            </w:r>
            <w:r w:rsidRPr="00A864C4">
              <w:rPr>
                <w:sz w:val="22"/>
                <w:lang w:val="es-ES"/>
              </w:rPr>
              <w:t xml:space="preserve">3.3 de la Regla de Procedimiento relativa al número </w:t>
            </w:r>
            <w:r w:rsidRPr="00142FFB">
              <w:rPr>
                <w:b/>
                <w:bCs/>
                <w:sz w:val="22"/>
                <w:lang w:val="es-ES"/>
              </w:rPr>
              <w:t>9.11A</w:t>
            </w:r>
            <w:r w:rsidRPr="00A864C4">
              <w:rPr>
                <w:sz w:val="22"/>
                <w:lang w:val="es-ES"/>
              </w:rPr>
              <w:t>.</w:t>
            </w:r>
            <w:bookmarkEnd w:id="29"/>
            <w:r w:rsidRPr="00A864C4">
              <w:rPr>
                <w:sz w:val="22"/>
                <w:lang w:val="es-ES"/>
              </w:rPr>
              <w:t xml:space="preserve"> </w:t>
            </w:r>
            <w:bookmarkStart w:id="30" w:name="lt_pId047"/>
            <w:r w:rsidRPr="00A864C4">
              <w:rPr>
                <w:sz w:val="22"/>
                <w:lang w:val="es-ES"/>
              </w:rPr>
              <w:t>Este número, como se menciona en el Cuadro, exige una coordinación y, por tanto, no se aplica a las nuevas bandas.</w:t>
            </w:r>
            <w:bookmarkEnd w:id="30"/>
            <w:r w:rsidRPr="00A864C4">
              <w:rPr>
                <w:sz w:val="22"/>
                <w:lang w:val="es-ES"/>
              </w:rPr>
              <w:t xml:space="preserve"> </w:t>
            </w:r>
            <w:bookmarkStart w:id="31" w:name="lt_pId048"/>
            <w:r w:rsidRPr="00A864C4">
              <w:rPr>
                <w:sz w:val="22"/>
                <w:lang w:val="es-ES"/>
              </w:rPr>
              <w:t>Si queremos garantizar un acceso equitativo a estas bandas por todas las administraciones, será necesario estudiar más detenidamente este asunto.</w:t>
            </w:r>
            <w:bookmarkEnd w:id="31"/>
          </w:p>
          <w:p w14:paraId="51348839" w14:textId="126FAC65" w:rsidR="00967792" w:rsidRPr="00A864C4" w:rsidRDefault="00967792" w:rsidP="00B53355">
            <w:pPr>
              <w:spacing w:before="40" w:after="40"/>
              <w:rPr>
                <w:sz w:val="22"/>
                <w:lang w:val="es-ES"/>
              </w:rPr>
            </w:pPr>
            <w:bookmarkStart w:id="32" w:name="lt_pId049"/>
            <w:r w:rsidRPr="00A864C4">
              <w:rPr>
                <w:sz w:val="22"/>
                <w:lang w:val="es-ES"/>
              </w:rPr>
              <w:lastRenderedPageBreak/>
              <w:t>7.19</w:t>
            </w:r>
            <w:r w:rsidRPr="00A864C4">
              <w:rPr>
                <w:sz w:val="22"/>
                <w:lang w:val="es-ES"/>
              </w:rPr>
              <w:tab/>
              <w:t xml:space="preserve">El </w:t>
            </w:r>
            <w:r w:rsidRPr="00A864C4">
              <w:rPr>
                <w:b/>
                <w:bCs/>
                <w:sz w:val="22"/>
                <w:lang w:val="es-ES"/>
              </w:rPr>
              <w:t>representante de la BR</w:t>
            </w:r>
            <w:r w:rsidRPr="00A864C4">
              <w:rPr>
                <w:sz w:val="22"/>
                <w:lang w:val="es-ES"/>
              </w:rPr>
              <w:t xml:space="preserve"> reitera que el procedimiento previsto en el §</w:t>
            </w:r>
            <w:r w:rsidR="00A865C3">
              <w:rPr>
                <w:sz w:val="22"/>
                <w:lang w:val="es-ES"/>
              </w:rPr>
              <w:t> </w:t>
            </w:r>
            <w:r w:rsidRPr="00A864C4">
              <w:rPr>
                <w:sz w:val="22"/>
                <w:lang w:val="es-ES"/>
              </w:rPr>
              <w:t>3.3 de la Regla de Procedimiento relativa al número</w:t>
            </w:r>
            <w:r w:rsidR="002D0088">
              <w:rPr>
                <w:sz w:val="22"/>
                <w:lang w:val="es-ES"/>
              </w:rPr>
              <w:t> </w:t>
            </w:r>
            <w:r w:rsidRPr="00142FFB">
              <w:rPr>
                <w:b/>
                <w:bCs/>
                <w:sz w:val="22"/>
                <w:lang w:val="es-ES"/>
              </w:rPr>
              <w:t>9.11A</w:t>
            </w:r>
            <w:r w:rsidRPr="00A864C4">
              <w:rPr>
                <w:sz w:val="22"/>
                <w:lang w:val="es-ES"/>
              </w:rPr>
              <w:t xml:space="preserve"> no se aplica a la publicación anticipada, por lo que no es necesario proceder a un examen reglamentario ni manifestar conclusiones favorables con reservas.</w:t>
            </w:r>
            <w:bookmarkEnd w:id="32"/>
          </w:p>
          <w:p w14:paraId="675AE1D3" w14:textId="35362D6D" w:rsidR="00967792" w:rsidRPr="00A864C4" w:rsidRDefault="00967792" w:rsidP="00B53355">
            <w:pPr>
              <w:spacing w:before="40" w:after="40"/>
              <w:rPr>
                <w:sz w:val="22"/>
                <w:lang w:val="es-ES"/>
              </w:rPr>
            </w:pPr>
            <w:bookmarkStart w:id="33" w:name="lt_pId050"/>
            <w:r w:rsidRPr="00A864C4">
              <w:rPr>
                <w:sz w:val="22"/>
                <w:lang w:val="es-ES"/>
              </w:rPr>
              <w:t>7.20</w:t>
            </w:r>
            <w:r w:rsidRPr="00A864C4">
              <w:rPr>
                <w:sz w:val="22"/>
                <w:lang w:val="es-ES"/>
              </w:rPr>
              <w:tab/>
              <w:t xml:space="preserve">El </w:t>
            </w:r>
            <w:r w:rsidRPr="00A864C4">
              <w:rPr>
                <w:b/>
                <w:bCs/>
                <w:sz w:val="22"/>
                <w:lang w:val="es-ES"/>
              </w:rPr>
              <w:t xml:space="preserve">delegado de la Federación de Rusia </w:t>
            </w:r>
            <w:r w:rsidRPr="00A864C4">
              <w:rPr>
                <w:sz w:val="22"/>
                <w:lang w:val="es-ES"/>
              </w:rPr>
              <w:t>hace suya la opinión de los delegados de Noruega y del Reino Unido en lo que respecta a la eventual aplicación del §</w:t>
            </w:r>
            <w:r w:rsidR="00A865C3">
              <w:rPr>
                <w:sz w:val="22"/>
                <w:lang w:val="es-ES"/>
              </w:rPr>
              <w:t> </w:t>
            </w:r>
            <w:r w:rsidRPr="00A864C4">
              <w:rPr>
                <w:sz w:val="22"/>
                <w:lang w:val="es-ES"/>
              </w:rPr>
              <w:t xml:space="preserve">3.3 de la Regla de Procedimiento relativa al número </w:t>
            </w:r>
            <w:r w:rsidRPr="00142FFB">
              <w:rPr>
                <w:b/>
                <w:bCs/>
                <w:sz w:val="22"/>
                <w:lang w:val="es-ES"/>
              </w:rPr>
              <w:t>9.11A</w:t>
            </w:r>
            <w:r w:rsidRPr="00A864C4">
              <w:rPr>
                <w:sz w:val="22"/>
                <w:lang w:val="es-ES"/>
              </w:rPr>
              <w:t>.</w:t>
            </w:r>
            <w:bookmarkEnd w:id="33"/>
            <w:r w:rsidRPr="00A864C4">
              <w:rPr>
                <w:sz w:val="22"/>
                <w:lang w:val="es-ES"/>
              </w:rPr>
              <w:t xml:space="preserve"> </w:t>
            </w:r>
            <w:bookmarkStart w:id="34" w:name="lt_pId051"/>
            <w:r w:rsidRPr="00A864C4">
              <w:rPr>
                <w:sz w:val="22"/>
                <w:lang w:val="es-ES"/>
              </w:rPr>
              <w:t>Habida cuenta de que falta tiempo para estudios con mayor profundidad la cuestión, propone que l RRB examine la aplicación de la Regla de Procedimiento a todas las solicitudes de coordinación para las redes de satélites y los servicios terrenales y que, en espera de la conclusión de este examen, la BR no tramite las solicitudes de coordinación para estas bandas.</w:t>
            </w:r>
            <w:bookmarkEnd w:id="34"/>
          </w:p>
          <w:p w14:paraId="249643CE" w14:textId="77777777" w:rsidR="00967792" w:rsidRPr="00A864C4" w:rsidRDefault="00967792" w:rsidP="00B53355">
            <w:pPr>
              <w:spacing w:before="40" w:after="40"/>
              <w:rPr>
                <w:sz w:val="22"/>
                <w:lang w:val="es-ES"/>
              </w:rPr>
            </w:pPr>
            <w:bookmarkStart w:id="35" w:name="lt_pId052"/>
            <w:r w:rsidRPr="00A864C4">
              <w:rPr>
                <w:sz w:val="22"/>
                <w:lang w:val="es-ES"/>
              </w:rPr>
              <w:t>7.21</w:t>
            </w:r>
            <w:r w:rsidRPr="00A864C4">
              <w:rPr>
                <w:sz w:val="22"/>
                <w:lang w:val="es-ES"/>
              </w:rPr>
              <w:tab/>
              <w:t xml:space="preserve">El </w:t>
            </w:r>
            <w:r w:rsidRPr="00A864C4">
              <w:rPr>
                <w:b/>
                <w:bCs/>
                <w:sz w:val="22"/>
                <w:lang w:val="es-ES"/>
              </w:rPr>
              <w:t>delegado de Francia</w:t>
            </w:r>
            <w:r w:rsidRPr="00A864C4">
              <w:rPr>
                <w:sz w:val="22"/>
                <w:lang w:val="es-ES"/>
              </w:rPr>
              <w:t>, volviendo sobre la propuesta precedente, es partidario de que la RRB estudie la situación pero propone que las administraciones que quieran y puedan envíen a la Oficina sus solicitudes de coordinación, de conformidad con la normativa vigente.</w:t>
            </w:r>
            <w:bookmarkEnd w:id="35"/>
            <w:r w:rsidRPr="00A864C4">
              <w:rPr>
                <w:sz w:val="22"/>
                <w:lang w:val="es-ES"/>
              </w:rPr>
              <w:t xml:space="preserve"> </w:t>
            </w:r>
            <w:bookmarkStart w:id="36" w:name="lt_pId053"/>
            <w:r w:rsidRPr="00A864C4">
              <w:rPr>
                <w:sz w:val="22"/>
                <w:lang w:val="es-ES"/>
              </w:rPr>
              <w:t>Una vez la RRB termine los estudios, la BR se encargará de publicar las solicitudes de coordinación y la fecha de recepción de estas solicitudes se determinará con arreglo a las conclusiones de la RRB.</w:t>
            </w:r>
            <w:bookmarkEnd w:id="36"/>
          </w:p>
          <w:p w14:paraId="33B3FBBF" w14:textId="77777777" w:rsidR="00967792" w:rsidRPr="00A864C4" w:rsidRDefault="00967792" w:rsidP="00B53355">
            <w:pPr>
              <w:spacing w:before="40" w:after="40"/>
              <w:rPr>
                <w:sz w:val="22"/>
                <w:lang w:val="es-ES"/>
              </w:rPr>
            </w:pPr>
            <w:bookmarkStart w:id="37" w:name="lt_pId054"/>
            <w:r w:rsidRPr="00A864C4">
              <w:rPr>
                <w:sz w:val="22"/>
                <w:lang w:val="es-ES"/>
              </w:rPr>
              <w:t>7.22</w:t>
            </w:r>
            <w:r w:rsidRPr="00A864C4">
              <w:rPr>
                <w:sz w:val="22"/>
                <w:lang w:val="es-ES"/>
              </w:rPr>
              <w:tab/>
              <w:t xml:space="preserve">La </w:t>
            </w:r>
            <w:r w:rsidRPr="00A864C4">
              <w:rPr>
                <w:b/>
                <w:bCs/>
                <w:sz w:val="22"/>
                <w:lang w:val="es-ES"/>
              </w:rPr>
              <w:t>delegada de Israel</w:t>
            </w:r>
            <w:r w:rsidRPr="00A864C4">
              <w:rPr>
                <w:sz w:val="22"/>
                <w:lang w:val="es-ES"/>
              </w:rPr>
              <w:t xml:space="preserve"> recuerda que la aplicación de la Regla de Procedimiento relativa al número </w:t>
            </w:r>
            <w:r w:rsidRPr="00142FFB">
              <w:rPr>
                <w:b/>
                <w:bCs/>
                <w:sz w:val="22"/>
                <w:lang w:val="es-ES"/>
              </w:rPr>
              <w:t>9.11A</w:t>
            </w:r>
            <w:r w:rsidRPr="00A864C4">
              <w:rPr>
                <w:sz w:val="22"/>
                <w:lang w:val="es-ES"/>
              </w:rPr>
              <w:t xml:space="preserve"> constituye la práctica establecida desde hace 23 años para todas las atribuciones de frecuencias después de cada CMR.</w:t>
            </w:r>
            <w:bookmarkEnd w:id="37"/>
            <w:r w:rsidRPr="00A864C4">
              <w:rPr>
                <w:sz w:val="22"/>
                <w:lang w:val="es-ES"/>
              </w:rPr>
              <w:t xml:space="preserve"> </w:t>
            </w:r>
            <w:bookmarkStart w:id="38" w:name="lt_pId055"/>
            <w:r w:rsidRPr="00A864C4">
              <w:rPr>
                <w:sz w:val="22"/>
                <w:lang w:val="es-ES"/>
              </w:rPr>
              <w:t>Tanto la propuesta de la Federación de Rusia como el texto propuesto por el Presidente de la Comisión 5 no hacen sino bloquear la tramitación de notificación y no garantizan un acceso equitativo al espectro a todas las administraciones, contrariamente a la práctica legítima establecida. La delegada subraya que el número de solicitudes de coordinación (CR/C) ya está limitado por su propia naturaleza en lo que respecta a la información para publicación anticipada.</w:t>
            </w:r>
            <w:bookmarkEnd w:id="38"/>
            <w:r w:rsidRPr="00A864C4">
              <w:rPr>
                <w:sz w:val="22"/>
                <w:lang w:val="es-ES"/>
              </w:rPr>
              <w:t xml:space="preserve"> </w:t>
            </w:r>
            <w:bookmarkStart w:id="39" w:name="lt_pId056"/>
            <w:r w:rsidRPr="00A864C4">
              <w:rPr>
                <w:sz w:val="22"/>
                <w:lang w:val="es-ES"/>
              </w:rPr>
              <w:t xml:space="preserve">Recuerda a los participantes que el debate no versa sobre los planes sino sobre las </w:t>
            </w:r>
            <w:r w:rsidRPr="00A864C4">
              <w:rPr>
                <w:sz w:val="22"/>
                <w:lang w:val="es-ES"/>
              </w:rPr>
              <w:lastRenderedPageBreak/>
              <w:t>bandas no planificadas a las que se aplica siempre el principio de «por orden de solicitud», principio que no debe reservarse siempre a las mismas administraciones.</w:t>
            </w:r>
            <w:bookmarkEnd w:id="39"/>
            <w:r w:rsidRPr="00A864C4">
              <w:rPr>
                <w:sz w:val="22"/>
                <w:lang w:val="es-ES"/>
              </w:rPr>
              <w:t xml:space="preserve"> </w:t>
            </w:r>
            <w:bookmarkStart w:id="40" w:name="lt_pId057"/>
            <w:r w:rsidRPr="00A864C4">
              <w:rPr>
                <w:sz w:val="22"/>
                <w:lang w:val="es-ES"/>
              </w:rPr>
              <w:t>La delegada no se opone a que esta cuestión sea examinada más adelante pero sí a que se deje para el último momento de la conferencia, sobre todo porque este tema no se ha tratado en el último periodo de estudios y que no se ha recibido contribución alguna sobre el mismo, sino que se ha planteado estos dos últimos días únicamente.</w:t>
            </w:r>
            <w:bookmarkEnd w:id="40"/>
            <w:r w:rsidRPr="00A864C4">
              <w:rPr>
                <w:sz w:val="22"/>
                <w:lang w:val="es-ES"/>
              </w:rPr>
              <w:t xml:space="preserve"> </w:t>
            </w:r>
            <w:bookmarkStart w:id="41" w:name="lt_pId058"/>
            <w:r w:rsidRPr="00A864C4">
              <w:rPr>
                <w:sz w:val="22"/>
                <w:lang w:val="es-ES"/>
              </w:rPr>
              <w:t>Asimismo, la delegada de Israel subraya que el documento final sobre el punto 1.6.1 del orden del día ya aprobado por la Plenaria hace referencia en el número 5.A161 al 27 de noviembre de 2015, fecha a partir de la cual podrán presentarse las solicitudes de coordinación para las nuevas bandas atribuidas.</w:t>
            </w:r>
            <w:bookmarkEnd w:id="41"/>
            <w:r w:rsidRPr="00A864C4">
              <w:rPr>
                <w:sz w:val="22"/>
                <w:lang w:val="es-ES"/>
              </w:rPr>
              <w:t xml:space="preserve"> </w:t>
            </w:r>
            <w:bookmarkStart w:id="42" w:name="lt_pId059"/>
            <w:r w:rsidRPr="00A864C4">
              <w:rPr>
                <w:sz w:val="22"/>
                <w:lang w:val="es-ES"/>
              </w:rPr>
              <w:t>Por estos motivos, se declara en contra de que se adopten las medidas propuestas.</w:t>
            </w:r>
            <w:bookmarkEnd w:id="42"/>
          </w:p>
          <w:p w14:paraId="1ACD93EC" w14:textId="77777777" w:rsidR="00967792" w:rsidRPr="00A864C4" w:rsidRDefault="00967792" w:rsidP="00B53355">
            <w:pPr>
              <w:spacing w:before="40" w:after="40"/>
              <w:rPr>
                <w:sz w:val="22"/>
                <w:lang w:val="es-ES"/>
              </w:rPr>
            </w:pPr>
            <w:bookmarkStart w:id="43" w:name="lt_pId060"/>
            <w:r w:rsidRPr="00A864C4">
              <w:rPr>
                <w:sz w:val="22"/>
                <w:lang w:val="es-ES"/>
              </w:rPr>
              <w:t>7.23</w:t>
            </w:r>
            <w:r w:rsidRPr="00A864C4">
              <w:rPr>
                <w:sz w:val="22"/>
                <w:lang w:val="es-ES"/>
              </w:rPr>
              <w:tab/>
              <w:t xml:space="preserve">El </w:t>
            </w:r>
            <w:r w:rsidRPr="00A864C4">
              <w:rPr>
                <w:b/>
                <w:bCs/>
                <w:sz w:val="22"/>
                <w:lang w:val="es-ES"/>
              </w:rPr>
              <w:t xml:space="preserve">delegado de Turquía </w:t>
            </w:r>
            <w:r w:rsidRPr="00A864C4">
              <w:rPr>
                <w:sz w:val="22"/>
                <w:lang w:val="es-ES"/>
              </w:rPr>
              <w:t>también se opone a la propuesta de la Federación de Rusia.</w:t>
            </w:r>
            <w:bookmarkEnd w:id="43"/>
          </w:p>
          <w:p w14:paraId="5BB08DCA" w14:textId="77777777" w:rsidR="00967792" w:rsidRPr="00A864C4" w:rsidRDefault="00967792" w:rsidP="00B53355">
            <w:pPr>
              <w:spacing w:before="40" w:after="40"/>
              <w:rPr>
                <w:sz w:val="22"/>
                <w:lang w:val="es-ES"/>
              </w:rPr>
            </w:pPr>
            <w:bookmarkStart w:id="44" w:name="lt_pId061"/>
            <w:r w:rsidRPr="00A864C4">
              <w:rPr>
                <w:sz w:val="22"/>
                <w:lang w:val="es-ES"/>
              </w:rPr>
              <w:t>7.24</w:t>
            </w:r>
            <w:r w:rsidRPr="00A864C4">
              <w:rPr>
                <w:sz w:val="22"/>
                <w:lang w:val="es-ES"/>
              </w:rPr>
              <w:tab/>
              <w:t xml:space="preserve">El </w:t>
            </w:r>
            <w:r w:rsidRPr="00A864C4">
              <w:rPr>
                <w:b/>
                <w:bCs/>
                <w:sz w:val="22"/>
                <w:lang w:val="es-ES"/>
              </w:rPr>
              <w:t>delegado de Egipto</w:t>
            </w:r>
            <w:r w:rsidRPr="00A864C4">
              <w:rPr>
                <w:sz w:val="22"/>
                <w:lang w:val="es-ES"/>
              </w:rPr>
              <w:t xml:space="preserve"> hace suya la propuesta de la Federación de Rusia y estima que sólo la RRB está facultada para aclarar el asunto.</w:t>
            </w:r>
            <w:bookmarkEnd w:id="44"/>
            <w:r w:rsidRPr="00A864C4">
              <w:rPr>
                <w:sz w:val="22"/>
                <w:lang w:val="es-ES"/>
              </w:rPr>
              <w:t xml:space="preserve"> </w:t>
            </w:r>
            <w:bookmarkStart w:id="45" w:name="lt_pId062"/>
            <w:r w:rsidRPr="00A864C4">
              <w:rPr>
                <w:sz w:val="22"/>
                <w:lang w:val="es-ES"/>
              </w:rPr>
              <w:t>Considera que si no se ha efectuado una atribución no se pueden presentar solicitudes de coordinación.</w:t>
            </w:r>
            <w:bookmarkEnd w:id="45"/>
            <w:r w:rsidRPr="00A864C4">
              <w:rPr>
                <w:sz w:val="22"/>
                <w:lang w:val="es-ES"/>
              </w:rPr>
              <w:t xml:space="preserve"> </w:t>
            </w:r>
            <w:bookmarkStart w:id="46" w:name="lt_pId063"/>
            <w:r w:rsidRPr="00A864C4">
              <w:rPr>
                <w:sz w:val="22"/>
                <w:lang w:val="es-ES"/>
              </w:rPr>
              <w:t>La mayoría de las administraciones no han comunicado información para la publicación anticipada antes de que la Conferencia haya tomado una decisión.</w:t>
            </w:r>
            <w:bookmarkEnd w:id="46"/>
            <w:r w:rsidRPr="00A864C4">
              <w:rPr>
                <w:sz w:val="22"/>
                <w:lang w:val="es-ES"/>
              </w:rPr>
              <w:t xml:space="preserve"> </w:t>
            </w:r>
            <w:bookmarkStart w:id="47" w:name="lt_pId064"/>
            <w:r w:rsidRPr="00A864C4">
              <w:rPr>
                <w:sz w:val="22"/>
                <w:lang w:val="es-ES"/>
              </w:rPr>
              <w:t>De mantenerse la fecha de 27 de noviembre de 2015, todas las administraciones que no han comunicado información para la publicación anticipada deberán esperar al menos seis meses.</w:t>
            </w:r>
            <w:bookmarkEnd w:id="47"/>
            <w:r w:rsidRPr="00A864C4">
              <w:rPr>
                <w:sz w:val="22"/>
                <w:lang w:val="es-ES"/>
              </w:rPr>
              <w:t xml:space="preserve"> </w:t>
            </w:r>
            <w:bookmarkStart w:id="48" w:name="lt_pId065"/>
            <w:r w:rsidRPr="00A864C4">
              <w:rPr>
                <w:sz w:val="22"/>
                <w:lang w:val="es-ES"/>
              </w:rPr>
              <w:t>El delegado observa además que nada impide a las administraciones presentar solicitudes de coordinación (CR/C), ciertas sujetas a la recuperación de costos, pero que los últimos en presentar sus solicitudes pueden experimentar dificultades para acceder al espectro.</w:t>
            </w:r>
            <w:bookmarkEnd w:id="48"/>
            <w:r w:rsidRPr="00A864C4">
              <w:rPr>
                <w:sz w:val="22"/>
                <w:lang w:val="es-ES"/>
              </w:rPr>
              <w:t xml:space="preserve"> Subraya que la propuesta de la Federación de Rusia tiene por objeto aclarar la situación, sin establecer prioridad ni obstáculo alguno, a fin de confirmar que la aplicación de la Regla de Procedimiento es una práctica habitual. </w:t>
            </w:r>
            <w:bookmarkStart w:id="49" w:name="lt_pId067"/>
            <w:r w:rsidRPr="00A864C4">
              <w:rPr>
                <w:sz w:val="22"/>
                <w:lang w:val="es-ES"/>
              </w:rPr>
              <w:t xml:space="preserve">Se opone firmemente a que las atribuciones en esta banda puedan ser objeto de solicitudes de coordinación a partir del 27 de noviembre de 2015 y propone que se aplique un periodo de </w:t>
            </w:r>
            <w:r w:rsidRPr="00A864C4">
              <w:rPr>
                <w:sz w:val="22"/>
                <w:lang w:val="es-ES"/>
              </w:rPr>
              <w:lastRenderedPageBreak/>
              <w:t>transición para tales atribuciones, con el fin de evitar que se bloquee a las administraciones que no han presentado información para la publicación anticipada.</w:t>
            </w:r>
            <w:bookmarkEnd w:id="49"/>
            <w:r w:rsidRPr="00A864C4">
              <w:rPr>
                <w:sz w:val="22"/>
                <w:lang w:val="es-ES"/>
              </w:rPr>
              <w:t xml:space="preserve"> </w:t>
            </w:r>
          </w:p>
          <w:p w14:paraId="1F3C5C0C" w14:textId="77777777" w:rsidR="00967792" w:rsidRPr="00A864C4" w:rsidRDefault="00967792" w:rsidP="00B53355">
            <w:pPr>
              <w:spacing w:before="40" w:after="40"/>
              <w:rPr>
                <w:sz w:val="22"/>
                <w:lang w:val="es-ES"/>
              </w:rPr>
            </w:pPr>
            <w:bookmarkStart w:id="50" w:name="lt_pId068"/>
            <w:r w:rsidRPr="00A864C4">
              <w:rPr>
                <w:sz w:val="22"/>
                <w:lang w:val="es-ES"/>
              </w:rPr>
              <w:t>7.25</w:t>
            </w:r>
            <w:r w:rsidRPr="00A864C4">
              <w:rPr>
                <w:sz w:val="22"/>
                <w:lang w:val="es-ES"/>
              </w:rPr>
              <w:tab/>
            </w:r>
            <w:r w:rsidRPr="00A864C4">
              <w:rPr>
                <w:b/>
                <w:bCs/>
                <w:sz w:val="22"/>
                <w:lang w:val="es-ES"/>
              </w:rPr>
              <w:t>El Director de la BR</w:t>
            </w:r>
            <w:r w:rsidRPr="00A864C4">
              <w:rPr>
                <w:sz w:val="22"/>
                <w:lang w:val="es-ES"/>
              </w:rPr>
              <w:t xml:space="preserve"> reconoce la divergencia de opiniones que, a su modo de ver, son irreconciliables en la presente Conferencia y propone transmitir el estudio de esta cuestión a la RRB, órgano en el que están representadas todas las Regiones y que dispone de las competencias y el tiempo necesario.</w:t>
            </w:r>
            <w:bookmarkEnd w:id="50"/>
          </w:p>
          <w:p w14:paraId="69A3EDC8" w14:textId="77777777" w:rsidR="00967792" w:rsidRPr="00A864C4" w:rsidRDefault="00967792" w:rsidP="00B53355">
            <w:pPr>
              <w:spacing w:before="40" w:after="40"/>
              <w:rPr>
                <w:sz w:val="22"/>
                <w:lang w:val="es-ES"/>
              </w:rPr>
            </w:pPr>
            <w:bookmarkStart w:id="51" w:name="lt_pId069"/>
            <w:r w:rsidRPr="00A864C4">
              <w:rPr>
                <w:sz w:val="22"/>
                <w:lang w:val="es-ES"/>
              </w:rPr>
              <w:t>7.26</w:t>
            </w:r>
            <w:r w:rsidRPr="00A864C4">
              <w:rPr>
                <w:sz w:val="22"/>
                <w:lang w:val="es-ES"/>
              </w:rPr>
              <w:tab/>
              <w:t xml:space="preserve">La </w:t>
            </w:r>
            <w:r w:rsidRPr="00A864C4">
              <w:rPr>
                <w:b/>
                <w:bCs/>
                <w:sz w:val="22"/>
                <w:lang w:val="es-ES"/>
              </w:rPr>
              <w:t xml:space="preserve">delegada de Israel </w:t>
            </w:r>
            <w:r w:rsidRPr="00A864C4">
              <w:rPr>
                <w:sz w:val="22"/>
                <w:lang w:val="es-ES"/>
              </w:rPr>
              <w:t>desea obtener confirmación de que las administraciones están autorizadas a presentar solicitudes de coordinación inmediatamente después de la CMR y que la RRB examinará la cuestión y manifestará sus conclusiones ulteriormente.</w:t>
            </w:r>
            <w:bookmarkEnd w:id="51"/>
            <w:r w:rsidRPr="00A864C4">
              <w:rPr>
                <w:sz w:val="22"/>
                <w:lang w:val="es-ES"/>
              </w:rPr>
              <w:t xml:space="preserve"> </w:t>
            </w:r>
            <w:bookmarkStart w:id="52" w:name="lt_pId070"/>
            <w:r w:rsidRPr="00A864C4">
              <w:rPr>
                <w:sz w:val="22"/>
                <w:lang w:val="es-ES"/>
              </w:rPr>
              <w:t>Se pregunta qué pasará con las tasas abonadas a título de recuperación de costes al presentar la solicitud de coordinación inicial en caso de que la RRB llegue a una conclusión diferente.</w:t>
            </w:r>
            <w:bookmarkEnd w:id="52"/>
          </w:p>
          <w:p w14:paraId="50E5FF0D" w14:textId="77777777" w:rsidR="00967792" w:rsidRPr="00A864C4" w:rsidRDefault="00967792" w:rsidP="00B53355">
            <w:pPr>
              <w:spacing w:before="40" w:after="40"/>
              <w:rPr>
                <w:sz w:val="22"/>
                <w:lang w:val="es-ES"/>
              </w:rPr>
            </w:pPr>
            <w:bookmarkStart w:id="53" w:name="lt_pId071"/>
            <w:r w:rsidRPr="00A864C4">
              <w:rPr>
                <w:sz w:val="22"/>
                <w:lang w:val="es-ES"/>
              </w:rPr>
              <w:t>7.27</w:t>
            </w:r>
            <w:r w:rsidRPr="00A864C4">
              <w:rPr>
                <w:sz w:val="22"/>
                <w:lang w:val="es-ES"/>
              </w:rPr>
              <w:tab/>
              <w:t xml:space="preserve">El </w:t>
            </w:r>
            <w:r w:rsidRPr="00A864C4">
              <w:rPr>
                <w:b/>
                <w:bCs/>
                <w:sz w:val="22"/>
                <w:lang w:val="es-ES"/>
              </w:rPr>
              <w:t>Presidente de la RRB</w:t>
            </w:r>
            <w:r w:rsidRPr="00A864C4">
              <w:rPr>
                <w:sz w:val="22"/>
                <w:lang w:val="es-ES"/>
              </w:rPr>
              <w:t xml:space="preserve"> dice que la RRB debe tomarse tiempo para estudiar la cuestión antes de poder dar una respuesta.</w:t>
            </w:r>
            <w:bookmarkEnd w:id="53"/>
          </w:p>
          <w:p w14:paraId="2276770E" w14:textId="77777777" w:rsidR="00967792" w:rsidRPr="00A864C4" w:rsidRDefault="00967792" w:rsidP="00B53355">
            <w:pPr>
              <w:spacing w:before="40" w:after="40"/>
              <w:rPr>
                <w:sz w:val="22"/>
                <w:lang w:val="es-ES"/>
              </w:rPr>
            </w:pPr>
            <w:bookmarkStart w:id="54" w:name="lt_pId072"/>
            <w:r w:rsidRPr="00A864C4">
              <w:rPr>
                <w:sz w:val="22"/>
                <w:lang w:val="es-ES"/>
              </w:rPr>
              <w:t>7.28</w:t>
            </w:r>
            <w:r w:rsidRPr="00A864C4">
              <w:rPr>
                <w:sz w:val="22"/>
                <w:lang w:val="es-ES"/>
              </w:rPr>
              <w:tab/>
              <w:t xml:space="preserve">El </w:t>
            </w:r>
            <w:r w:rsidRPr="00A864C4">
              <w:rPr>
                <w:b/>
                <w:bCs/>
                <w:sz w:val="22"/>
                <w:lang w:val="es-ES"/>
              </w:rPr>
              <w:t>Director de la BR</w:t>
            </w:r>
            <w:r w:rsidRPr="00A864C4">
              <w:rPr>
                <w:sz w:val="22"/>
                <w:lang w:val="es-ES"/>
              </w:rPr>
              <w:t xml:space="preserve"> precisa que si la RRB modifica la fecha de recepción, la Oficina deberá reconsiderar la situación pero no exigirá que se abonen de nuevo las tasas. Este procedimiento no incidirá sobre la recuperación de coste</w:t>
            </w:r>
            <w:bookmarkStart w:id="55" w:name="lt_pId073"/>
            <w:bookmarkEnd w:id="54"/>
            <w:r w:rsidRPr="00A864C4">
              <w:rPr>
                <w:sz w:val="22"/>
                <w:lang w:val="es-ES"/>
              </w:rPr>
              <w:t>.</w:t>
            </w:r>
            <w:bookmarkEnd w:id="55"/>
          </w:p>
          <w:p w14:paraId="35C22C0D" w14:textId="77777777" w:rsidR="00967792" w:rsidRPr="00A864C4" w:rsidRDefault="00967792" w:rsidP="00B53355">
            <w:pPr>
              <w:spacing w:before="40" w:after="40"/>
              <w:rPr>
                <w:sz w:val="22"/>
                <w:lang w:val="es-ES"/>
              </w:rPr>
            </w:pPr>
            <w:bookmarkStart w:id="56" w:name="lt_pId074"/>
            <w:r w:rsidRPr="00A864C4">
              <w:rPr>
                <w:sz w:val="22"/>
                <w:lang w:val="es-ES"/>
              </w:rPr>
              <w:t>7.29</w:t>
            </w:r>
            <w:r w:rsidRPr="00A864C4">
              <w:rPr>
                <w:sz w:val="22"/>
                <w:lang w:val="es-ES"/>
              </w:rPr>
              <w:tab/>
              <w:t xml:space="preserve">En respuesta a una solicitud de aclaración del </w:t>
            </w:r>
            <w:r w:rsidRPr="00A864C4">
              <w:rPr>
                <w:b/>
                <w:bCs/>
                <w:sz w:val="22"/>
                <w:lang w:val="es-ES"/>
              </w:rPr>
              <w:t xml:space="preserve">delegado de Suecia </w:t>
            </w:r>
            <w:r w:rsidRPr="00A864C4">
              <w:rPr>
                <w:sz w:val="22"/>
                <w:lang w:val="es-ES"/>
              </w:rPr>
              <w:t xml:space="preserve">sobre la propuesta que se transmitirá a la RRB, el </w:t>
            </w:r>
            <w:r w:rsidRPr="00A864C4">
              <w:rPr>
                <w:b/>
                <w:bCs/>
                <w:sz w:val="22"/>
                <w:lang w:val="es-ES"/>
              </w:rPr>
              <w:t>Director de la BR</w:t>
            </w:r>
            <w:r w:rsidRPr="00A864C4">
              <w:rPr>
                <w:sz w:val="22"/>
                <w:lang w:val="es-ES"/>
              </w:rPr>
              <w:t xml:space="preserve"> dice que se trata de la propuesta de Francia relativa a la aplicación retroactiva de las decisiones de la RRB.</w:t>
            </w:r>
            <w:bookmarkEnd w:id="56"/>
            <w:r w:rsidRPr="00A864C4">
              <w:rPr>
                <w:sz w:val="22"/>
                <w:lang w:val="es-ES"/>
              </w:rPr>
              <w:t xml:space="preserve"> </w:t>
            </w:r>
            <w:bookmarkStart w:id="57" w:name="lt_pId075"/>
            <w:r w:rsidRPr="00A864C4">
              <w:rPr>
                <w:sz w:val="22"/>
                <w:lang w:val="es-ES"/>
              </w:rPr>
              <w:t>La fecha de recepción se modificará retroactivamente en función de las conclusiones de la RRB.</w:t>
            </w:r>
            <w:bookmarkEnd w:id="57"/>
            <w:r w:rsidRPr="00A864C4">
              <w:rPr>
                <w:sz w:val="22"/>
                <w:lang w:val="es-ES"/>
              </w:rPr>
              <w:t xml:space="preserve"> </w:t>
            </w:r>
            <w:bookmarkStart w:id="58" w:name="lt_pId076"/>
            <w:r w:rsidRPr="00A864C4">
              <w:rPr>
                <w:sz w:val="22"/>
                <w:lang w:val="es-ES"/>
              </w:rPr>
              <w:t>Se proponen preparar un texto basado en la propuesta de Francia y transmitirlo a la próxima Sesión Plenaria.</w:t>
            </w:r>
            <w:bookmarkEnd w:id="58"/>
          </w:p>
          <w:p w14:paraId="7520D200" w14:textId="77777777" w:rsidR="00967792" w:rsidRPr="00A864C4" w:rsidRDefault="00967792" w:rsidP="00B53355">
            <w:pPr>
              <w:spacing w:before="40" w:after="40"/>
              <w:rPr>
                <w:sz w:val="22"/>
                <w:lang w:val="es-ES"/>
              </w:rPr>
            </w:pPr>
            <w:bookmarkStart w:id="59" w:name="lt_pId077"/>
            <w:r w:rsidRPr="00A864C4">
              <w:rPr>
                <w:sz w:val="22"/>
                <w:lang w:val="es-ES"/>
              </w:rPr>
              <w:t>7.30</w:t>
            </w:r>
            <w:r w:rsidRPr="00A864C4">
              <w:rPr>
                <w:sz w:val="22"/>
                <w:lang w:val="es-ES"/>
              </w:rPr>
              <w:tab/>
              <w:t xml:space="preserve">El </w:t>
            </w:r>
            <w:r w:rsidRPr="00A864C4">
              <w:rPr>
                <w:b/>
                <w:bCs/>
                <w:sz w:val="22"/>
                <w:lang w:val="es-ES"/>
              </w:rPr>
              <w:t xml:space="preserve">delegado de la Federación de Rusia </w:t>
            </w:r>
            <w:r w:rsidRPr="00A864C4">
              <w:rPr>
                <w:sz w:val="22"/>
                <w:lang w:val="es-ES"/>
              </w:rPr>
              <w:t>propone que, para evitar la aplicación retroactiva de las decisiones de la RRB, que la BR no tramite más formularios de notificación para esta banda hasta tanto la RRB no haya formulado sus conclusiones.</w:t>
            </w:r>
            <w:bookmarkEnd w:id="59"/>
          </w:p>
          <w:p w14:paraId="07253DB1" w14:textId="77777777" w:rsidR="00967792" w:rsidRPr="00A864C4" w:rsidRDefault="00967792" w:rsidP="00B53355">
            <w:pPr>
              <w:spacing w:before="40" w:after="40"/>
              <w:rPr>
                <w:sz w:val="22"/>
                <w:lang w:val="es-ES"/>
              </w:rPr>
            </w:pPr>
            <w:bookmarkStart w:id="60" w:name="lt_pId078"/>
            <w:r w:rsidRPr="00A864C4">
              <w:rPr>
                <w:sz w:val="22"/>
                <w:lang w:val="es-ES"/>
              </w:rPr>
              <w:t>7.31</w:t>
            </w:r>
            <w:r w:rsidRPr="00A864C4">
              <w:rPr>
                <w:sz w:val="22"/>
                <w:lang w:val="es-ES"/>
              </w:rPr>
              <w:tab/>
              <w:t xml:space="preserve">En respuesta a una observación del </w:t>
            </w:r>
            <w:r w:rsidRPr="00A864C4">
              <w:rPr>
                <w:b/>
                <w:bCs/>
                <w:sz w:val="22"/>
                <w:lang w:val="es-ES"/>
              </w:rPr>
              <w:t>Presidente de la Comisión 5</w:t>
            </w:r>
            <w:r w:rsidRPr="00A864C4">
              <w:rPr>
                <w:sz w:val="22"/>
                <w:lang w:val="es-ES"/>
              </w:rPr>
              <w:t xml:space="preserve"> relativa la aplicación de la decisión adoptada sobre el </w:t>
            </w:r>
            <w:r w:rsidRPr="00A864C4">
              <w:rPr>
                <w:sz w:val="22"/>
                <w:lang w:val="es-ES"/>
              </w:rPr>
              <w:lastRenderedPageBreak/>
              <w:t xml:space="preserve">enlace ascendente, el </w:t>
            </w:r>
            <w:r w:rsidRPr="00A864C4">
              <w:rPr>
                <w:b/>
                <w:bCs/>
                <w:sz w:val="22"/>
                <w:lang w:val="es-ES"/>
              </w:rPr>
              <w:t xml:space="preserve">delegado de Francia </w:t>
            </w:r>
            <w:r w:rsidRPr="00A864C4">
              <w:rPr>
                <w:sz w:val="22"/>
                <w:lang w:val="es-ES"/>
              </w:rPr>
              <w:t>recuerda que la decisión que se tome no podrá aplicarse al enlace ascendente puesto que ya existe una atribución al SFS.</w:t>
            </w:r>
            <w:bookmarkEnd w:id="60"/>
          </w:p>
          <w:p w14:paraId="106A11F6" w14:textId="76CD8734" w:rsidR="00967792" w:rsidRPr="00A864C4" w:rsidRDefault="00967792" w:rsidP="00B53355">
            <w:pPr>
              <w:spacing w:before="40" w:after="40"/>
              <w:rPr>
                <w:sz w:val="22"/>
                <w:lang w:val="es-ES"/>
              </w:rPr>
            </w:pPr>
            <w:bookmarkStart w:id="61" w:name="lt_pId079"/>
            <w:r w:rsidRPr="00A864C4">
              <w:rPr>
                <w:sz w:val="22"/>
                <w:lang w:val="es-ES"/>
              </w:rPr>
              <w:t>7.32</w:t>
            </w:r>
            <w:r w:rsidRPr="00A864C4">
              <w:rPr>
                <w:sz w:val="22"/>
                <w:lang w:val="es-ES"/>
              </w:rPr>
              <w:tab/>
              <w:t xml:space="preserve">Se </w:t>
            </w:r>
            <w:r w:rsidRPr="00A864C4">
              <w:rPr>
                <w:b/>
                <w:bCs/>
                <w:sz w:val="22"/>
                <w:lang w:val="es-ES"/>
              </w:rPr>
              <w:t xml:space="preserve">acuerda </w:t>
            </w:r>
            <w:r w:rsidRPr="00A864C4">
              <w:rPr>
                <w:sz w:val="22"/>
                <w:lang w:val="es-ES"/>
              </w:rPr>
              <w:t>transmitir a la RRB la cuestión de la admisibilidad de solicitudes de coordinación para la nueva atribución al SFS en la banda 13,4-13,65 GHz antes de su entrada en vigor, a fin de que estudio profundamente esta cuestión teniendo en cuenta todas las observaciones formuladas.</w:t>
            </w:r>
            <w:bookmarkEnd w:id="61"/>
          </w:p>
        </w:tc>
        <w:tc>
          <w:tcPr>
            <w:tcW w:w="1548" w:type="pct"/>
          </w:tcPr>
          <w:p w14:paraId="38433A90" w14:textId="2F589339" w:rsidR="00967792" w:rsidRPr="00D2027A" w:rsidDel="009440F5" w:rsidRDefault="00967792" w:rsidP="00B53355">
            <w:pPr>
              <w:pStyle w:val="Tabletext"/>
              <w:rPr>
                <w:rFonts w:asciiTheme="majorBidi" w:hAnsiTheme="majorBidi" w:cstheme="majorBidi"/>
                <w:szCs w:val="24"/>
                <w:lang w:val="es-ES"/>
              </w:rPr>
            </w:pPr>
            <w:r w:rsidRPr="00D2027A">
              <w:rPr>
                <w:rFonts w:asciiTheme="majorBidi" w:hAnsiTheme="majorBidi" w:cstheme="majorBidi"/>
                <w:bCs/>
                <w:lang w:val="es-ES"/>
              </w:rPr>
              <w:lastRenderedPageBreak/>
              <w:t xml:space="preserve">La RRB aprobó la Regla de Procedimiento </w:t>
            </w:r>
            <w:r w:rsidRPr="00266695">
              <w:rPr>
                <w:lang w:val="es-ES"/>
              </w:rPr>
              <w:t>pertinente</w:t>
            </w:r>
            <w:r w:rsidRPr="00D2027A">
              <w:rPr>
                <w:rFonts w:asciiTheme="majorBidi" w:hAnsiTheme="majorBidi" w:cstheme="majorBidi"/>
                <w:bCs/>
                <w:lang w:val="es-ES"/>
              </w:rPr>
              <w:t xml:space="preserve"> correspondiente al núm</w:t>
            </w:r>
            <w:r w:rsidR="00A864C4">
              <w:rPr>
                <w:rFonts w:asciiTheme="majorBidi" w:hAnsiTheme="majorBidi" w:cstheme="majorBidi"/>
                <w:bCs/>
                <w:lang w:val="es-ES"/>
              </w:rPr>
              <w:t>ero</w:t>
            </w:r>
            <w:r w:rsidRPr="00D2027A">
              <w:rPr>
                <w:rFonts w:asciiTheme="majorBidi" w:hAnsiTheme="majorBidi" w:cstheme="majorBidi"/>
                <w:bCs/>
                <w:lang w:val="es-ES"/>
              </w:rPr>
              <w:t xml:space="preserve"> </w:t>
            </w:r>
            <w:r w:rsidRPr="00D2027A">
              <w:rPr>
                <w:rFonts w:asciiTheme="majorBidi" w:hAnsiTheme="majorBidi" w:cstheme="majorBidi"/>
                <w:b/>
                <w:lang w:val="es-ES"/>
              </w:rPr>
              <w:t>9.11A</w:t>
            </w:r>
            <w:r w:rsidRPr="00D2027A">
              <w:rPr>
                <w:rFonts w:asciiTheme="majorBidi" w:hAnsiTheme="majorBidi" w:cstheme="majorBidi"/>
                <w:bCs/>
                <w:lang w:val="es-ES"/>
              </w:rPr>
              <w:t xml:space="preserve"> en su 72ª reunión (</w:t>
            </w:r>
            <w:hyperlink r:id="rId202" w:history="1">
              <w:r w:rsidRPr="00D2027A">
                <w:rPr>
                  <w:rStyle w:val="Hyperlink"/>
                  <w:rFonts w:asciiTheme="majorBidi" w:hAnsiTheme="majorBidi" w:cstheme="majorBidi"/>
                  <w:bCs/>
                  <w:lang w:val="es-ES"/>
                </w:rPr>
                <w:t>CR/402</w:t>
              </w:r>
            </w:hyperlink>
            <w:r w:rsidRPr="00D2027A">
              <w:rPr>
                <w:rFonts w:asciiTheme="majorBidi" w:hAnsiTheme="majorBidi" w:cstheme="majorBidi"/>
                <w:bCs/>
                <w:lang w:val="es-ES"/>
              </w:rPr>
              <w:t>)</w:t>
            </w:r>
            <w:r w:rsidR="00D156CD">
              <w:rPr>
                <w:rFonts w:asciiTheme="majorBidi" w:hAnsiTheme="majorBidi" w:cstheme="majorBidi"/>
                <w:bCs/>
                <w:lang w:val="es-ES"/>
              </w:rPr>
              <w:t>.</w:t>
            </w:r>
          </w:p>
        </w:tc>
      </w:tr>
      <w:tr w:rsidR="00967792" w:rsidRPr="00D2027A" w14:paraId="4DCC7DEA" w14:textId="77777777" w:rsidTr="00924C8B">
        <w:trPr>
          <w:jc w:val="center"/>
        </w:trPr>
        <w:tc>
          <w:tcPr>
            <w:tcW w:w="183" w:type="pct"/>
          </w:tcPr>
          <w:p w14:paraId="287D3E97" w14:textId="78988E02" w:rsidR="00967792" w:rsidRPr="00A616CA" w:rsidRDefault="00967792" w:rsidP="00B53355">
            <w:pPr>
              <w:pStyle w:val="Tabletext"/>
              <w:rPr>
                <w:lang w:val="es-ES"/>
              </w:rPr>
            </w:pPr>
            <w:r w:rsidRPr="00A616CA">
              <w:rPr>
                <w:lang w:val="es-ES"/>
              </w:rPr>
              <w:lastRenderedPageBreak/>
              <w:t>59</w:t>
            </w:r>
          </w:p>
        </w:tc>
        <w:tc>
          <w:tcPr>
            <w:tcW w:w="434" w:type="pct"/>
          </w:tcPr>
          <w:p w14:paraId="67D6F2FB" w14:textId="5FF86E19" w:rsidR="00967792" w:rsidRPr="00A616CA" w:rsidRDefault="00967792" w:rsidP="00B53355">
            <w:pPr>
              <w:pStyle w:val="Tabletext"/>
              <w:rPr>
                <w:lang w:val="es-ES"/>
              </w:rPr>
            </w:pPr>
            <w:r w:rsidRPr="00A616CA">
              <w:rPr>
                <w:lang w:val="es-ES"/>
              </w:rPr>
              <w:t>CMR-15</w:t>
            </w:r>
          </w:p>
        </w:tc>
        <w:tc>
          <w:tcPr>
            <w:tcW w:w="523" w:type="pct"/>
          </w:tcPr>
          <w:p w14:paraId="2D1AED28" w14:textId="0397D47D" w:rsidR="00967792" w:rsidRPr="00D2027A" w:rsidRDefault="00967792" w:rsidP="00A864C4">
            <w:pPr>
              <w:pStyle w:val="Tabletext"/>
              <w:rPr>
                <w:rFonts w:asciiTheme="majorBidi" w:hAnsiTheme="majorBidi" w:cstheme="majorBidi"/>
                <w:bCs/>
                <w:szCs w:val="24"/>
                <w:lang w:val="es-ES"/>
              </w:rPr>
            </w:pPr>
            <w:r w:rsidRPr="00A864C4">
              <w:rPr>
                <w:lang w:val="es-ES"/>
              </w:rPr>
              <w:t>14ª</w:t>
            </w:r>
            <w:r w:rsidRPr="00D2027A">
              <w:rPr>
                <w:rFonts w:asciiTheme="majorBidi" w:hAnsiTheme="majorBidi" w:cstheme="majorBidi"/>
                <w:bCs/>
                <w:szCs w:val="24"/>
                <w:lang w:val="es-ES"/>
              </w:rPr>
              <w:t xml:space="preserve"> Plenaria </w:t>
            </w:r>
            <w:hyperlink r:id="rId203">
              <w:r w:rsidRPr="00D2027A">
                <w:rPr>
                  <w:rStyle w:val="Hyperlink"/>
                  <w:rFonts w:asciiTheme="majorBidi" w:hAnsiTheme="majorBidi" w:cstheme="majorBidi"/>
                  <w:bCs/>
                  <w:szCs w:val="24"/>
                  <w:lang w:val="es-ES"/>
                </w:rPr>
                <w:t>Doc. CMR15/511</w:t>
              </w:r>
            </w:hyperlink>
          </w:p>
          <w:p w14:paraId="3C347601" w14:textId="2F2C559F" w:rsidR="00967792" w:rsidRPr="00D2027A" w:rsidRDefault="00967792" w:rsidP="00A864C4">
            <w:pPr>
              <w:pStyle w:val="Tabletext"/>
              <w:rPr>
                <w:rFonts w:asciiTheme="majorBidi" w:hAnsiTheme="majorBidi" w:cstheme="majorBidi"/>
                <w:bCs/>
                <w:szCs w:val="24"/>
                <w:lang w:val="es-ES"/>
              </w:rPr>
            </w:pPr>
            <w:r w:rsidRPr="00D2027A">
              <w:rPr>
                <w:rFonts w:asciiTheme="majorBidi" w:hAnsiTheme="majorBidi" w:cstheme="majorBidi"/>
                <w:bCs/>
                <w:szCs w:val="24"/>
                <w:lang w:val="es-ES"/>
              </w:rPr>
              <w:t xml:space="preserve">Aprobación del </w:t>
            </w:r>
            <w:r w:rsidRPr="00A864C4">
              <w:rPr>
                <w:lang w:val="es-ES"/>
              </w:rPr>
              <w:t>Documento</w:t>
            </w:r>
            <w:r w:rsidRPr="00D2027A">
              <w:rPr>
                <w:rFonts w:asciiTheme="majorBidi" w:hAnsiTheme="majorBidi" w:cstheme="majorBidi"/>
                <w:bCs/>
                <w:szCs w:val="24"/>
                <w:lang w:val="es-ES"/>
              </w:rPr>
              <w:t xml:space="preserve"> CMR15/483</w:t>
            </w:r>
          </w:p>
        </w:tc>
        <w:tc>
          <w:tcPr>
            <w:tcW w:w="2312" w:type="pct"/>
          </w:tcPr>
          <w:p w14:paraId="5C4A6941" w14:textId="77777777" w:rsidR="00967792" w:rsidRPr="00A864C4" w:rsidRDefault="00967792" w:rsidP="00B53355">
            <w:pPr>
              <w:spacing w:before="40" w:after="40"/>
              <w:rPr>
                <w:sz w:val="22"/>
                <w:lang w:val="es-ES"/>
              </w:rPr>
            </w:pPr>
            <w:r w:rsidRPr="00A864C4">
              <w:rPr>
                <w:sz w:val="22"/>
                <w:lang w:val="es-ES"/>
              </w:rPr>
              <w:t>1.16</w:t>
            </w:r>
            <w:r w:rsidRPr="00A864C4">
              <w:rPr>
                <w:sz w:val="22"/>
                <w:lang w:val="es-ES"/>
              </w:rPr>
              <w:tab/>
              <w:t xml:space="preserve">La </w:t>
            </w:r>
            <w:r w:rsidRPr="00A864C4">
              <w:rPr>
                <w:b/>
                <w:bCs/>
                <w:sz w:val="22"/>
                <w:lang w:val="es-ES"/>
              </w:rPr>
              <w:t>delegada de Estados Unidos</w:t>
            </w:r>
            <w:r w:rsidRPr="00A864C4">
              <w:rPr>
                <w:sz w:val="22"/>
                <w:lang w:val="es-ES"/>
              </w:rPr>
              <w:t xml:space="preserve"> propone que no se ponga entre corchetes la expresión «en espacios aéreos no segregados» en el título de la resolución. También propone que las dos notas idénticas de la resolución que figuran entre corchetes se sustituyan por la expresión «o coherente con las normas y prácticas internacionales aprobadas por la autoridad de aviación civil competente»</w:t>
            </w:r>
          </w:p>
          <w:p w14:paraId="2DB4D973" w14:textId="77777777" w:rsidR="00967792" w:rsidRPr="00A864C4" w:rsidRDefault="00967792" w:rsidP="00B53355">
            <w:pPr>
              <w:spacing w:before="40" w:after="40"/>
              <w:rPr>
                <w:sz w:val="22"/>
                <w:lang w:val="es-ES"/>
              </w:rPr>
            </w:pPr>
            <w:r w:rsidRPr="00A864C4">
              <w:rPr>
                <w:sz w:val="22"/>
                <w:lang w:val="es-ES"/>
              </w:rPr>
              <w:t>1.17</w:t>
            </w:r>
            <w:r w:rsidRPr="00A864C4">
              <w:rPr>
                <w:sz w:val="22"/>
                <w:lang w:val="es-ES"/>
              </w:rPr>
              <w:tab/>
              <w:t xml:space="preserve">La </w:t>
            </w:r>
            <w:r w:rsidRPr="00A864C4">
              <w:rPr>
                <w:b/>
                <w:bCs/>
                <w:sz w:val="22"/>
                <w:lang w:val="es-ES"/>
              </w:rPr>
              <w:t xml:space="preserve">delegada de la República Islámica del Irán </w:t>
            </w:r>
            <w:r w:rsidRPr="00A864C4">
              <w:rPr>
                <w:bCs/>
                <w:sz w:val="22"/>
                <w:lang w:val="es-ES"/>
              </w:rPr>
              <w:t>dice</w:t>
            </w:r>
            <w:r w:rsidRPr="00A864C4">
              <w:rPr>
                <w:b/>
                <w:bCs/>
                <w:sz w:val="22"/>
                <w:lang w:val="es-ES"/>
              </w:rPr>
              <w:t xml:space="preserve"> </w:t>
            </w:r>
            <w:r w:rsidRPr="00A864C4">
              <w:rPr>
                <w:bCs/>
                <w:sz w:val="22"/>
                <w:lang w:val="es-ES"/>
              </w:rPr>
              <w:t>que la nota no debería comenzar con «o», sino con «también puede utilizarse».</w:t>
            </w:r>
          </w:p>
          <w:p w14:paraId="0E06EDC4" w14:textId="0C0F54B1" w:rsidR="00967792" w:rsidRPr="00A864C4" w:rsidRDefault="00967792" w:rsidP="00B53355">
            <w:pPr>
              <w:spacing w:before="40" w:after="40"/>
              <w:rPr>
                <w:sz w:val="22"/>
                <w:lang w:val="es-ES"/>
              </w:rPr>
            </w:pPr>
            <w:r w:rsidRPr="00A864C4">
              <w:rPr>
                <w:sz w:val="22"/>
                <w:lang w:val="es-ES"/>
              </w:rPr>
              <w:t>1.18</w:t>
            </w:r>
            <w:r w:rsidRPr="00A864C4">
              <w:rPr>
                <w:sz w:val="22"/>
                <w:lang w:val="es-ES"/>
              </w:rPr>
              <w:tab/>
              <w:t xml:space="preserve">Se </w:t>
            </w:r>
            <w:r w:rsidRPr="00A864C4">
              <w:rPr>
                <w:b/>
                <w:sz w:val="22"/>
                <w:lang w:val="es-ES"/>
              </w:rPr>
              <w:t>acuerda</w:t>
            </w:r>
            <w:r w:rsidRPr="00A864C4">
              <w:rPr>
                <w:sz w:val="22"/>
                <w:lang w:val="es-ES"/>
              </w:rPr>
              <w:t xml:space="preserve"> que se supriman los corchetes en el título y en las notas y que se modifique la redacción de las notas a tenor del texto que propone la delegada de Estados Unidos con las enmiendas del delegado de la República Islámica del Irán.</w:t>
            </w:r>
          </w:p>
          <w:p w14:paraId="3ADC3BA4" w14:textId="5E0F4D24" w:rsidR="00967792" w:rsidRPr="00A864C4" w:rsidRDefault="00967792" w:rsidP="00B53355">
            <w:pPr>
              <w:spacing w:before="40" w:after="40"/>
              <w:rPr>
                <w:sz w:val="22"/>
                <w:lang w:val="es-ES"/>
              </w:rPr>
            </w:pPr>
            <w:r w:rsidRPr="00A864C4">
              <w:rPr>
                <w:sz w:val="22"/>
                <w:lang w:val="es-ES"/>
              </w:rPr>
              <w:t>1.19</w:t>
            </w:r>
            <w:r w:rsidRPr="00A864C4">
              <w:rPr>
                <w:sz w:val="22"/>
                <w:lang w:val="es-ES"/>
              </w:rPr>
              <w:tab/>
              <w:t xml:space="preserve">El </w:t>
            </w:r>
            <w:r w:rsidRPr="00A864C4">
              <w:rPr>
                <w:b/>
                <w:bCs/>
                <w:sz w:val="22"/>
                <w:lang w:val="es-ES"/>
              </w:rPr>
              <w:t>delegado de Arabia Saud</w:t>
            </w:r>
            <w:r w:rsidR="00A865C3">
              <w:rPr>
                <w:b/>
                <w:bCs/>
                <w:sz w:val="22"/>
                <w:lang w:val="es-ES"/>
              </w:rPr>
              <w:t>ita</w:t>
            </w:r>
            <w:r w:rsidRPr="00A864C4">
              <w:rPr>
                <w:sz w:val="22"/>
                <w:lang w:val="es-ES"/>
              </w:rPr>
              <w:t xml:space="preserve"> pide que se aclare el significado de «autoridad de aviación civil competente». </w:t>
            </w:r>
          </w:p>
          <w:p w14:paraId="2DE8C856" w14:textId="77777777" w:rsidR="00967792" w:rsidRPr="00A864C4" w:rsidRDefault="00967792" w:rsidP="00B53355">
            <w:pPr>
              <w:spacing w:before="40" w:after="40"/>
              <w:rPr>
                <w:sz w:val="22"/>
                <w:lang w:val="es-ES"/>
              </w:rPr>
            </w:pPr>
            <w:r w:rsidRPr="00A864C4">
              <w:rPr>
                <w:sz w:val="22"/>
                <w:lang w:val="es-ES"/>
              </w:rPr>
              <w:t>1.20</w:t>
            </w:r>
            <w:r w:rsidRPr="00A864C4">
              <w:rPr>
                <w:sz w:val="22"/>
                <w:lang w:val="es-ES"/>
              </w:rPr>
              <w:tab/>
              <w:t xml:space="preserve">La </w:t>
            </w:r>
            <w:r w:rsidRPr="00A864C4">
              <w:rPr>
                <w:b/>
                <w:sz w:val="22"/>
                <w:lang w:val="es-ES"/>
              </w:rPr>
              <w:t>delegada de Estados Unidos</w:t>
            </w:r>
            <w:r w:rsidRPr="00A864C4">
              <w:rPr>
                <w:sz w:val="22"/>
                <w:lang w:val="es-ES"/>
              </w:rPr>
              <w:t xml:space="preserve"> afirma que «autoridad de aviación civil competente» se refiere a la autoridad de aviación civil nacional del país en el que funciona el sistema de aeronaves no tripuladas.</w:t>
            </w:r>
          </w:p>
          <w:p w14:paraId="565A6934" w14:textId="613555FD" w:rsidR="00967792" w:rsidRPr="00A864C4" w:rsidRDefault="00967792" w:rsidP="00B53355">
            <w:pPr>
              <w:spacing w:before="40" w:after="40"/>
              <w:rPr>
                <w:sz w:val="22"/>
                <w:lang w:val="es-ES"/>
              </w:rPr>
            </w:pPr>
            <w:r w:rsidRPr="00A864C4">
              <w:rPr>
                <w:sz w:val="22"/>
                <w:lang w:val="es-ES"/>
              </w:rPr>
              <w:t>1.21</w:t>
            </w:r>
            <w:r w:rsidRPr="00A864C4">
              <w:rPr>
                <w:sz w:val="22"/>
                <w:lang w:val="es-ES"/>
              </w:rPr>
              <w:tab/>
              <w:t xml:space="preserve">El </w:t>
            </w:r>
            <w:r w:rsidRPr="00A864C4">
              <w:rPr>
                <w:b/>
                <w:sz w:val="22"/>
                <w:lang w:val="es-ES"/>
              </w:rPr>
              <w:t>delegado de la República Islámica del Irán</w:t>
            </w:r>
            <w:r w:rsidRPr="00A864C4">
              <w:rPr>
                <w:sz w:val="22"/>
                <w:lang w:val="es-ES"/>
              </w:rPr>
              <w:t xml:space="preserve"> dice que la nota no debería referirse únicamente a las autoridades de aviación civil nacionales porque podría haber otras autoridades competentes en materia de normas internacionales. El documento en su conjunto, en particular el proyecto de Resolución [COM4/5], es especialmente complejo, y en anteriores debates del texto han surgido varios asuntos controvertidos. La conferencia no debería tener prisa por adoptar una </w:t>
            </w:r>
            <w:r w:rsidRPr="00A864C4">
              <w:rPr>
                <w:sz w:val="22"/>
                <w:lang w:val="es-ES"/>
              </w:rPr>
              <w:lastRenderedPageBreak/>
              <w:t>decisión, puesto que muchos aspectos del texto siguen exigiendo un examen minucioso y deberían abordarse en la conferencia de 2013. Teniendo esto en cuenta, el delegado ha redactado una declaración para su inclusión en el acta de la reunión, condición necesaria para que apruebe el documento. No es una declaración en nombre de la Administración de la República Islámica del Irán, sino una declaración general en virtud de la cual se ponen de manifiesto las inquietudes generalizadas manifestadas por numerosas delegaciones en relación con la complejidad del documento en su conjunto, en particular el proyecto de Resolución [COM4/5]. La declaración cuenta con el apoyo de las Administraciones de la Federación de Rusia, Belarús, Armenia, Uzbekistán, Kazajstán, la República Kirguisa e Indonesia. Se aprueba el proyecto de Resolución [COM4/5], sin perjuicio de que se incluya la declaración en el acta de la plenaria, como única opción para lograr una definición mejor.</w:t>
            </w:r>
          </w:p>
          <w:p w14:paraId="6582C130" w14:textId="77777777" w:rsidR="00967792" w:rsidRPr="00A864C4" w:rsidRDefault="00967792" w:rsidP="00B53355">
            <w:pPr>
              <w:spacing w:before="40" w:after="40"/>
              <w:rPr>
                <w:sz w:val="22"/>
                <w:lang w:val="es-ES"/>
              </w:rPr>
            </w:pPr>
            <w:r w:rsidRPr="00A864C4">
              <w:rPr>
                <w:sz w:val="22"/>
                <w:lang w:val="es-ES"/>
              </w:rPr>
              <w:t>1.22</w:t>
            </w:r>
            <w:r w:rsidRPr="00A864C4">
              <w:rPr>
                <w:sz w:val="22"/>
                <w:lang w:val="es-ES"/>
              </w:rPr>
              <w:tab/>
              <w:t xml:space="preserve">El </w:t>
            </w:r>
            <w:r w:rsidRPr="00A864C4">
              <w:rPr>
                <w:b/>
                <w:bCs/>
                <w:sz w:val="22"/>
                <w:lang w:val="es-ES"/>
              </w:rPr>
              <w:t>Secretario de la Plenaria</w:t>
            </w:r>
            <w:r w:rsidRPr="00A864C4">
              <w:rPr>
                <w:sz w:val="22"/>
                <w:lang w:val="es-ES"/>
              </w:rPr>
              <w:t xml:space="preserve"> da lectura a la siguiente declaración, presentada por el delegado de la República Islámica del Irán:</w:t>
            </w:r>
          </w:p>
          <w:p w14:paraId="643A2B59" w14:textId="77777777" w:rsidR="00967792" w:rsidRPr="00A864C4" w:rsidRDefault="00967792" w:rsidP="00B53355">
            <w:pPr>
              <w:spacing w:before="40" w:after="40"/>
              <w:rPr>
                <w:sz w:val="22"/>
                <w:lang w:val="es-ES"/>
              </w:rPr>
            </w:pPr>
            <w:r w:rsidRPr="00A864C4">
              <w:rPr>
                <w:sz w:val="22"/>
                <w:lang w:val="es-ES"/>
              </w:rPr>
              <w:t>«Al tener en cuenta el Documento 483 relativo al punto 1.5 del orden del día, se han manifestado inquietudes sobre la complejidad del asunto y del texto de la resolución en la que se describen el caso y el procedimiento previsto para su implantación, así como en relación con las numerosas partes operativas del documento, la falta de claridad de ciertas partes de la resolución y la dificultad de su aplicación.</w:t>
            </w:r>
          </w:p>
          <w:p w14:paraId="269DD82A" w14:textId="4330D262" w:rsidR="00967792" w:rsidRPr="00A864C4" w:rsidRDefault="00967792" w:rsidP="00B53355">
            <w:pPr>
              <w:spacing w:before="40" w:after="40"/>
              <w:rPr>
                <w:sz w:val="22"/>
                <w:lang w:val="es-ES"/>
              </w:rPr>
            </w:pPr>
            <w:r w:rsidRPr="00A864C4">
              <w:rPr>
                <w:sz w:val="22"/>
                <w:lang w:val="es-ES"/>
              </w:rPr>
              <w:t>Habida cuenta de lo anterior, la conferencia considera oportuno señalar que es muy difícil autorizar la utilización de esta banda de frecuencias para el funcionamiento de SANT/CNPC, en particular la estación terrena en movimiento a bordo de aeronaves, antes de que la CMR-23 lleve a cabo y apruebe el estudio y el procedimiento que se piden en la resolución para analizar los aspectos de funcionamiento, puesto que la falta de cautela con respecto a dicho funcionamiento repercutiría negativamente en la seguridad de vuelo y perjudicaría a los servicios de satélite y terrenales de otras administraciones».</w:t>
            </w:r>
          </w:p>
          <w:p w14:paraId="107A8D24" w14:textId="68942207" w:rsidR="00967792" w:rsidRPr="00A864C4" w:rsidRDefault="00967792" w:rsidP="00B53355">
            <w:pPr>
              <w:spacing w:before="40" w:after="40"/>
              <w:rPr>
                <w:sz w:val="22"/>
                <w:lang w:val="es-ES"/>
              </w:rPr>
            </w:pPr>
            <w:r w:rsidRPr="00A864C4">
              <w:rPr>
                <w:sz w:val="22"/>
                <w:lang w:val="es-ES"/>
              </w:rPr>
              <w:lastRenderedPageBreak/>
              <w:t>1.23</w:t>
            </w:r>
            <w:r w:rsidRPr="00A864C4">
              <w:rPr>
                <w:sz w:val="22"/>
                <w:lang w:val="es-ES"/>
              </w:rPr>
              <w:tab/>
              <w:t xml:space="preserve">La </w:t>
            </w:r>
            <w:r w:rsidRPr="00A864C4">
              <w:rPr>
                <w:b/>
                <w:bCs/>
                <w:sz w:val="22"/>
                <w:lang w:val="es-ES"/>
              </w:rPr>
              <w:t xml:space="preserve">delegada de Estados Unidos </w:t>
            </w:r>
            <w:r w:rsidRPr="00A864C4">
              <w:rPr>
                <w:sz w:val="22"/>
                <w:lang w:val="es-ES"/>
              </w:rPr>
              <w:t>afirma que su delegación considera que en la resolución se establecen adecuadamente los requisitos necesarios en materia de plazos, verificaciones y constataciones para aplicar medidas de forma prudente y oportuna. Apoyará la inclusión de la declaración en el acta siempre y cuando se presente como una declaración de la Administración de la República Islámica del Irán.</w:t>
            </w:r>
          </w:p>
          <w:p w14:paraId="4885554D" w14:textId="77777777" w:rsidR="00967792" w:rsidRPr="00A864C4" w:rsidRDefault="00967792" w:rsidP="00B53355">
            <w:pPr>
              <w:spacing w:before="40" w:after="40"/>
              <w:rPr>
                <w:sz w:val="22"/>
                <w:lang w:val="es-ES"/>
              </w:rPr>
            </w:pPr>
            <w:r w:rsidRPr="00A864C4">
              <w:rPr>
                <w:sz w:val="22"/>
                <w:lang w:val="es-ES"/>
              </w:rPr>
              <w:t>1.24</w:t>
            </w:r>
            <w:r w:rsidRPr="00A864C4">
              <w:rPr>
                <w:sz w:val="22"/>
                <w:lang w:val="es-ES"/>
              </w:rPr>
              <w:tab/>
              <w:t xml:space="preserve">El </w:t>
            </w:r>
            <w:r w:rsidRPr="00A864C4">
              <w:rPr>
                <w:b/>
                <w:bCs/>
                <w:sz w:val="22"/>
                <w:lang w:val="es-ES"/>
              </w:rPr>
              <w:t>delegado de la República Islámica del Irán</w:t>
            </w:r>
            <w:r w:rsidRPr="00A864C4">
              <w:rPr>
                <w:sz w:val="22"/>
                <w:lang w:val="es-ES"/>
              </w:rPr>
              <w:t xml:space="preserve"> reitera que la declaración no es una declaración de su Administración, sino una declaración general cuyo objetivo es poner de manifiesto las dificultades identificadas por la conferencia en relación con los complejos asuntos a los que se refiere la Resolución [COM4/5].</w:t>
            </w:r>
          </w:p>
          <w:p w14:paraId="3E263FCB" w14:textId="77777777" w:rsidR="00967792" w:rsidRPr="00A864C4" w:rsidRDefault="00967792" w:rsidP="00B53355">
            <w:pPr>
              <w:spacing w:before="40" w:after="40"/>
              <w:rPr>
                <w:sz w:val="22"/>
                <w:lang w:val="es-ES"/>
              </w:rPr>
            </w:pPr>
            <w:r w:rsidRPr="00A864C4">
              <w:rPr>
                <w:sz w:val="22"/>
                <w:lang w:val="es-ES"/>
              </w:rPr>
              <w:t>1.25</w:t>
            </w:r>
            <w:r w:rsidRPr="00A864C4">
              <w:rPr>
                <w:sz w:val="22"/>
                <w:lang w:val="es-ES"/>
              </w:rPr>
              <w:tab/>
              <w:t xml:space="preserve">El </w:t>
            </w:r>
            <w:r w:rsidRPr="00A864C4">
              <w:rPr>
                <w:b/>
                <w:bCs/>
                <w:sz w:val="22"/>
                <w:lang w:val="es-ES"/>
              </w:rPr>
              <w:t>delegado de Cuba</w:t>
            </w:r>
            <w:r w:rsidRPr="00A864C4">
              <w:rPr>
                <w:sz w:val="22"/>
                <w:lang w:val="es-ES"/>
              </w:rPr>
              <w:t xml:space="preserve"> dice que la declaración de la República Islámica del Irán pone claramente de manifiesto el trabajo de la conferencia y proporciona aclaraciones útiles. </w:t>
            </w:r>
          </w:p>
          <w:p w14:paraId="5C6A19E6" w14:textId="77777777" w:rsidR="00967792" w:rsidRPr="00A864C4" w:rsidRDefault="00967792" w:rsidP="00B53355">
            <w:pPr>
              <w:spacing w:before="40" w:after="40"/>
              <w:rPr>
                <w:sz w:val="22"/>
                <w:lang w:val="es-ES"/>
              </w:rPr>
            </w:pPr>
            <w:r w:rsidRPr="00A864C4">
              <w:rPr>
                <w:sz w:val="22"/>
                <w:lang w:val="es-ES"/>
              </w:rPr>
              <w:t>1.26</w:t>
            </w:r>
            <w:r w:rsidRPr="00A864C4">
              <w:rPr>
                <w:sz w:val="22"/>
                <w:lang w:val="es-ES"/>
              </w:rPr>
              <w:tab/>
              <w:t xml:space="preserve">El </w:t>
            </w:r>
            <w:r w:rsidRPr="00A864C4">
              <w:rPr>
                <w:b/>
                <w:bCs/>
                <w:sz w:val="22"/>
                <w:lang w:val="es-ES"/>
              </w:rPr>
              <w:t xml:space="preserve">delegado del Reino Unido </w:t>
            </w:r>
            <w:r w:rsidRPr="00A864C4">
              <w:rPr>
                <w:sz w:val="22"/>
                <w:lang w:val="es-ES"/>
              </w:rPr>
              <w:t xml:space="preserve">conviene en que existen asuntos controvertidos en el documento y señala que su delegación desea reservarse el derecho de efectuar una declaración en el acta final de la conferencia. </w:t>
            </w:r>
          </w:p>
          <w:p w14:paraId="6D706D82" w14:textId="77777777" w:rsidR="00967792" w:rsidRPr="00A864C4" w:rsidRDefault="00967792" w:rsidP="00B53355">
            <w:pPr>
              <w:spacing w:before="40" w:after="40"/>
              <w:rPr>
                <w:sz w:val="22"/>
                <w:lang w:val="es-ES"/>
              </w:rPr>
            </w:pPr>
            <w:r w:rsidRPr="00A864C4">
              <w:rPr>
                <w:sz w:val="22"/>
                <w:lang w:val="es-ES"/>
              </w:rPr>
              <w:t>1.27</w:t>
            </w:r>
            <w:r w:rsidRPr="00A864C4">
              <w:rPr>
                <w:sz w:val="22"/>
                <w:lang w:val="es-ES"/>
              </w:rPr>
              <w:tab/>
              <w:t xml:space="preserve">El </w:t>
            </w:r>
            <w:r w:rsidRPr="00A864C4">
              <w:rPr>
                <w:b/>
                <w:bCs/>
                <w:sz w:val="22"/>
                <w:lang w:val="es-ES"/>
              </w:rPr>
              <w:t xml:space="preserve">Director de la BR </w:t>
            </w:r>
            <w:r w:rsidRPr="00A864C4">
              <w:rPr>
                <w:sz w:val="22"/>
                <w:lang w:val="es-ES"/>
              </w:rPr>
              <w:t>propone que las delegaciones indiquen a mano alzada si apoyan la declaración propuesta por la República Islámica del Irán, que podría incluirse posteriormente en el acta de la plenaria como declaración de esas administraciones.</w:t>
            </w:r>
          </w:p>
          <w:p w14:paraId="0D261615" w14:textId="5AAB739F" w:rsidR="00967792" w:rsidRPr="00A864C4" w:rsidRDefault="00967792" w:rsidP="00B53355">
            <w:pPr>
              <w:spacing w:before="40" w:after="40"/>
              <w:rPr>
                <w:sz w:val="22"/>
                <w:lang w:val="es-ES"/>
              </w:rPr>
            </w:pPr>
            <w:r w:rsidRPr="00A864C4">
              <w:rPr>
                <w:sz w:val="22"/>
                <w:lang w:val="es-ES"/>
              </w:rPr>
              <w:t>1.28</w:t>
            </w:r>
            <w:r w:rsidRPr="00A864C4">
              <w:rPr>
                <w:sz w:val="22"/>
                <w:lang w:val="es-ES"/>
              </w:rPr>
              <w:tab/>
              <w:t xml:space="preserve">El </w:t>
            </w:r>
            <w:r w:rsidRPr="00A864C4">
              <w:rPr>
                <w:b/>
                <w:bCs/>
                <w:sz w:val="22"/>
                <w:lang w:val="es-ES"/>
              </w:rPr>
              <w:t>delegado de la República Islámica del Irán</w:t>
            </w:r>
            <w:r w:rsidRPr="00A864C4">
              <w:rPr>
                <w:sz w:val="22"/>
                <w:lang w:val="es-ES"/>
              </w:rPr>
              <w:t xml:space="preserve">, con el apoyo de la </w:t>
            </w:r>
            <w:r w:rsidRPr="00A864C4">
              <w:rPr>
                <w:b/>
                <w:sz w:val="22"/>
                <w:lang w:val="es-ES"/>
              </w:rPr>
              <w:t>delegada de Sudáfrica</w:t>
            </w:r>
            <w:r w:rsidRPr="00A864C4">
              <w:rPr>
                <w:sz w:val="22"/>
                <w:lang w:val="es-ES"/>
              </w:rPr>
              <w:t>, manifiesta su gran inquietud por que el procedimiento propuesto por el Director de la BR equivalga a emitir un voto que iría en contra del objetivo de la declaración.</w:t>
            </w:r>
          </w:p>
          <w:p w14:paraId="0929CEDE" w14:textId="77777777" w:rsidR="00967792" w:rsidRPr="00A864C4" w:rsidRDefault="00967792" w:rsidP="00B53355">
            <w:pPr>
              <w:spacing w:before="40" w:after="40"/>
              <w:rPr>
                <w:sz w:val="22"/>
                <w:lang w:val="es-ES"/>
              </w:rPr>
            </w:pPr>
            <w:r w:rsidRPr="00A864C4">
              <w:rPr>
                <w:sz w:val="22"/>
                <w:lang w:val="es-ES"/>
              </w:rPr>
              <w:t>1.29</w:t>
            </w:r>
            <w:r w:rsidRPr="00A864C4">
              <w:rPr>
                <w:sz w:val="22"/>
                <w:lang w:val="es-ES"/>
              </w:rPr>
              <w:tab/>
              <w:t xml:space="preserve">El </w:t>
            </w:r>
            <w:r w:rsidRPr="00A864C4">
              <w:rPr>
                <w:b/>
                <w:bCs/>
                <w:sz w:val="22"/>
                <w:lang w:val="es-ES"/>
              </w:rPr>
              <w:t>Presidente</w:t>
            </w:r>
            <w:r w:rsidRPr="00A864C4">
              <w:rPr>
                <w:sz w:val="22"/>
                <w:lang w:val="es-ES"/>
              </w:rPr>
              <w:t xml:space="preserve"> dice que el único objetivo de la propuesta es facilitar el proceso de inclusión de los nombres de las administraciones que deseen vincularse a la propuesta de declaración. </w:t>
            </w:r>
          </w:p>
          <w:p w14:paraId="23F1C6B5" w14:textId="77777777" w:rsidR="00967792" w:rsidRPr="00A864C4" w:rsidRDefault="00967792" w:rsidP="00B53355">
            <w:pPr>
              <w:spacing w:before="40" w:after="40"/>
              <w:rPr>
                <w:sz w:val="22"/>
                <w:lang w:val="es-ES"/>
              </w:rPr>
            </w:pPr>
            <w:r w:rsidRPr="00A864C4">
              <w:rPr>
                <w:sz w:val="22"/>
                <w:lang w:val="es-ES"/>
              </w:rPr>
              <w:t>1.30</w:t>
            </w:r>
            <w:r w:rsidRPr="00A864C4">
              <w:rPr>
                <w:sz w:val="22"/>
                <w:lang w:val="es-ES"/>
              </w:rPr>
              <w:tab/>
              <w:t xml:space="preserve">El </w:t>
            </w:r>
            <w:r w:rsidRPr="00A864C4">
              <w:rPr>
                <w:b/>
                <w:bCs/>
                <w:sz w:val="22"/>
                <w:lang w:val="es-ES"/>
              </w:rPr>
              <w:t>delegado de la República Islámica del Irán</w:t>
            </w:r>
            <w:r w:rsidRPr="00A864C4">
              <w:rPr>
                <w:sz w:val="22"/>
                <w:lang w:val="es-ES"/>
              </w:rPr>
              <w:t xml:space="preserve"> dice que las manifestaciones de apoyo a la declaración podrían presentarse a la secretaría por escrito.</w:t>
            </w:r>
          </w:p>
          <w:p w14:paraId="0D60E01A" w14:textId="77777777" w:rsidR="00967792" w:rsidRPr="00A864C4" w:rsidRDefault="00967792" w:rsidP="00B53355">
            <w:pPr>
              <w:spacing w:before="40" w:after="40"/>
              <w:rPr>
                <w:sz w:val="22"/>
                <w:lang w:val="es-ES"/>
              </w:rPr>
            </w:pPr>
            <w:r w:rsidRPr="00A864C4">
              <w:rPr>
                <w:sz w:val="22"/>
                <w:lang w:val="es-ES"/>
              </w:rPr>
              <w:lastRenderedPageBreak/>
              <w:t>1.31</w:t>
            </w:r>
            <w:r w:rsidRPr="00A864C4">
              <w:rPr>
                <w:sz w:val="22"/>
                <w:lang w:val="es-ES"/>
              </w:rPr>
              <w:tab/>
              <w:t xml:space="preserve">Así </w:t>
            </w:r>
            <w:r w:rsidRPr="00A864C4">
              <w:rPr>
                <w:b/>
                <w:sz w:val="22"/>
                <w:lang w:val="es-ES"/>
              </w:rPr>
              <w:t>se acuerda</w:t>
            </w:r>
            <w:r w:rsidRPr="00A864C4">
              <w:rPr>
                <w:sz w:val="22"/>
                <w:lang w:val="es-ES"/>
              </w:rPr>
              <w:t>.</w:t>
            </w:r>
          </w:p>
          <w:p w14:paraId="3572524C" w14:textId="77777777" w:rsidR="00967792" w:rsidRPr="00A864C4" w:rsidRDefault="00967792" w:rsidP="00B53355">
            <w:pPr>
              <w:spacing w:before="40" w:after="40"/>
              <w:rPr>
                <w:sz w:val="22"/>
                <w:lang w:val="es-ES"/>
              </w:rPr>
            </w:pPr>
            <w:r w:rsidRPr="00A864C4">
              <w:rPr>
                <w:sz w:val="22"/>
                <w:lang w:val="es-ES"/>
              </w:rPr>
              <w:t>2.1</w:t>
            </w:r>
            <w:r w:rsidRPr="00A864C4">
              <w:rPr>
                <w:sz w:val="22"/>
                <w:lang w:val="es-ES"/>
              </w:rPr>
              <w:tab/>
              <w:t>El</w:t>
            </w:r>
            <w:r w:rsidRPr="00A864C4">
              <w:rPr>
                <w:b/>
                <w:bCs/>
                <w:sz w:val="22"/>
                <w:lang w:val="es-ES"/>
              </w:rPr>
              <w:t xml:space="preserve"> Presidente </w:t>
            </w:r>
            <w:r w:rsidRPr="00A864C4">
              <w:rPr>
                <w:sz w:val="22"/>
                <w:lang w:val="es-ES"/>
              </w:rPr>
              <w:t>propone que la reunión apruebe en segunda lectura los textos sometidos por la Comisión de Redacción en el Documento 483, con sus recientes enmiendas.</w:t>
            </w:r>
          </w:p>
          <w:p w14:paraId="7DCBEFB1" w14:textId="77777777" w:rsidR="00967792" w:rsidRPr="00A864C4" w:rsidRDefault="00967792" w:rsidP="00B53355">
            <w:pPr>
              <w:spacing w:before="40" w:after="40"/>
              <w:rPr>
                <w:sz w:val="22"/>
                <w:lang w:val="es-ES"/>
              </w:rPr>
            </w:pPr>
            <w:r w:rsidRPr="00A864C4">
              <w:rPr>
                <w:sz w:val="22"/>
                <w:lang w:val="es-ES"/>
              </w:rPr>
              <w:t>2.2</w:t>
            </w:r>
            <w:r w:rsidRPr="00A864C4">
              <w:rPr>
                <w:sz w:val="22"/>
                <w:lang w:val="es-ES"/>
              </w:rPr>
              <w:tab/>
              <w:t xml:space="preserve">El </w:t>
            </w:r>
            <w:r w:rsidRPr="00A864C4">
              <w:rPr>
                <w:b/>
                <w:bCs/>
                <w:sz w:val="22"/>
                <w:lang w:val="es-ES"/>
              </w:rPr>
              <w:t>delegado de la India</w:t>
            </w:r>
            <w:r w:rsidRPr="00A864C4">
              <w:rPr>
                <w:sz w:val="22"/>
                <w:lang w:val="es-ES"/>
              </w:rPr>
              <w:t xml:space="preserve">, en relación con ADD 5.idR3, pide más tiempo para proseguir sus consultas con Paquistán. El </w:t>
            </w:r>
            <w:r w:rsidRPr="00A864C4">
              <w:rPr>
                <w:b/>
                <w:bCs/>
                <w:sz w:val="22"/>
                <w:lang w:val="es-ES"/>
              </w:rPr>
              <w:t>delegado de Paquistán</w:t>
            </w:r>
            <w:r w:rsidRPr="00A864C4">
              <w:rPr>
                <w:sz w:val="22"/>
                <w:lang w:val="es-ES"/>
              </w:rPr>
              <w:t xml:space="preserve"> dice que debería suprimirse íntegramente el nombre de la India en la nota 5.idR3. El </w:t>
            </w:r>
            <w:r w:rsidRPr="00A864C4">
              <w:rPr>
                <w:b/>
                <w:bCs/>
                <w:sz w:val="22"/>
                <w:lang w:val="es-ES"/>
              </w:rPr>
              <w:t>Presidente</w:t>
            </w:r>
            <w:r w:rsidRPr="00A864C4">
              <w:rPr>
                <w:sz w:val="22"/>
                <w:lang w:val="es-ES"/>
              </w:rPr>
              <w:t xml:space="preserve"> afirma que la nota 5.idR3 quedará en suspenso.</w:t>
            </w:r>
          </w:p>
          <w:p w14:paraId="13B76173" w14:textId="77777777" w:rsidR="00967792" w:rsidRPr="00A864C4" w:rsidRDefault="00967792" w:rsidP="00B53355">
            <w:pPr>
              <w:spacing w:before="40" w:after="40"/>
              <w:rPr>
                <w:sz w:val="22"/>
                <w:lang w:val="es-ES"/>
              </w:rPr>
            </w:pPr>
            <w:r w:rsidRPr="00A864C4">
              <w:rPr>
                <w:sz w:val="22"/>
                <w:lang w:val="es-ES"/>
              </w:rPr>
              <w:t>2.3</w:t>
            </w:r>
            <w:r w:rsidRPr="00A864C4">
              <w:rPr>
                <w:sz w:val="22"/>
                <w:lang w:val="es-ES"/>
              </w:rPr>
              <w:tab/>
              <w:t xml:space="preserve">El </w:t>
            </w:r>
            <w:r w:rsidRPr="00A864C4">
              <w:rPr>
                <w:b/>
                <w:bCs/>
                <w:sz w:val="22"/>
                <w:lang w:val="es-ES"/>
              </w:rPr>
              <w:t xml:space="preserve">delegado de la República Islámica del Irán </w:t>
            </w:r>
            <w:r w:rsidRPr="00A864C4">
              <w:rPr>
                <w:sz w:val="22"/>
                <w:lang w:val="es-ES"/>
              </w:rPr>
              <w:t>dice que dado que la declaración que ha presentado con el fin de lograr un compromiso para facilitar el desarrollo de los trabajos y subsanar las dificultades identificadas en relación con las cuestiones planteadas en la Resolución [COM4/5] no se ha incluido en el acta de la manera que él solicita, no puede apoyar el ADD Resolución [COM4/5].</w:t>
            </w:r>
          </w:p>
          <w:p w14:paraId="7D222DE6" w14:textId="77777777" w:rsidR="00967792" w:rsidRPr="00A864C4" w:rsidRDefault="00967792" w:rsidP="00B53355">
            <w:pPr>
              <w:spacing w:before="40" w:after="40"/>
              <w:rPr>
                <w:sz w:val="22"/>
                <w:lang w:val="es-ES"/>
              </w:rPr>
            </w:pPr>
            <w:r w:rsidRPr="00A864C4">
              <w:rPr>
                <w:sz w:val="22"/>
                <w:lang w:val="es-ES"/>
              </w:rPr>
              <w:t>2.4</w:t>
            </w:r>
            <w:r w:rsidRPr="00A864C4">
              <w:rPr>
                <w:sz w:val="22"/>
                <w:lang w:val="es-ES"/>
              </w:rPr>
              <w:tab/>
              <w:t xml:space="preserve">Se </w:t>
            </w:r>
            <w:r w:rsidRPr="00A864C4">
              <w:rPr>
                <w:b/>
                <w:sz w:val="22"/>
                <w:lang w:val="es-ES"/>
              </w:rPr>
              <w:t>aprueba</w:t>
            </w:r>
            <w:r w:rsidRPr="00A864C4">
              <w:rPr>
                <w:sz w:val="22"/>
                <w:lang w:val="es-ES"/>
              </w:rPr>
              <w:t xml:space="preserve"> en segunda lectura la decimonovena serie de textos (B19) (Documento 483), enmendados en primera lectura, salvo el ADD 5.idR3 y el ADD Resolución [COM4/5].</w:t>
            </w:r>
          </w:p>
          <w:p w14:paraId="1D7BAB74" w14:textId="77777777" w:rsidR="00967792" w:rsidRPr="00A864C4" w:rsidRDefault="00967792" w:rsidP="00B53355">
            <w:pPr>
              <w:spacing w:before="40" w:after="40"/>
              <w:rPr>
                <w:sz w:val="22"/>
                <w:lang w:val="es-ES"/>
              </w:rPr>
            </w:pPr>
            <w:r w:rsidRPr="00A864C4">
              <w:rPr>
                <w:sz w:val="22"/>
                <w:lang w:val="es-ES"/>
              </w:rPr>
              <w:t>22.31</w:t>
            </w:r>
            <w:r w:rsidRPr="00A864C4">
              <w:rPr>
                <w:sz w:val="22"/>
                <w:lang w:val="es-ES"/>
              </w:rPr>
              <w:tab/>
              <w:t xml:space="preserve">En relación con la Resolución COM4/5 (CMR-15), el </w:t>
            </w:r>
            <w:r w:rsidRPr="00A864C4">
              <w:rPr>
                <w:b/>
                <w:bCs/>
                <w:sz w:val="22"/>
                <w:lang w:val="es-ES"/>
              </w:rPr>
              <w:t>delegado de la República Islámica del Irán</w:t>
            </w:r>
            <w:r w:rsidRPr="00A864C4">
              <w:rPr>
                <w:sz w:val="22"/>
                <w:lang w:val="es-ES"/>
              </w:rPr>
              <w:t xml:space="preserve"> recuerda que durante el debate de la resolución en la decimotercera sesión plenaria presentó un texto para que se incluyera en el acta de la plenaria, y que de no ser así, sería difícil que aprobara el texto de la resolución. En consecuencia, reitera su propuesta de incluir el texto siguiente, no solamente como declaración, sino como propuesta de medida:</w:t>
            </w:r>
          </w:p>
          <w:p w14:paraId="2C6D2FF9" w14:textId="77777777" w:rsidR="00967792" w:rsidRPr="00A864C4" w:rsidRDefault="00967792" w:rsidP="00B53355">
            <w:pPr>
              <w:spacing w:before="40" w:after="40"/>
              <w:rPr>
                <w:sz w:val="22"/>
                <w:lang w:val="es-ES"/>
              </w:rPr>
            </w:pPr>
            <w:r w:rsidRPr="00A864C4">
              <w:rPr>
                <w:sz w:val="22"/>
                <w:lang w:val="es-ES"/>
              </w:rPr>
              <w:t xml:space="preserve">«Al tener en cuenta el Documento 483 relativo al punto 1.5 del orden del día, se han manifestado inquietudes sobre la complejidad del asunto y del texto de la resolución en la que se describen el caso y el procedimiento previsto para su implantación, así como en relación con las numerosas partes operativas del documento, la falta de claridad de ciertas partes de la resolución y la dificultad de su aplicación. </w:t>
            </w:r>
          </w:p>
          <w:p w14:paraId="73D62B16" w14:textId="77777777" w:rsidR="00967792" w:rsidRPr="00A864C4" w:rsidRDefault="00967792" w:rsidP="00B53355">
            <w:pPr>
              <w:spacing w:before="40" w:after="40"/>
              <w:rPr>
                <w:sz w:val="22"/>
                <w:lang w:val="es-ES"/>
              </w:rPr>
            </w:pPr>
            <w:r w:rsidRPr="00A864C4">
              <w:rPr>
                <w:sz w:val="22"/>
                <w:lang w:val="es-ES"/>
              </w:rPr>
              <w:t xml:space="preserve">Habida cuenta de lo anterior, la conferencia considera oportuno señalar que es muy difícil autorizar la utilización de esta banda de frecuencias para el funcionamiento de SANT/CNPC, en particular la </w:t>
            </w:r>
            <w:r w:rsidRPr="00A864C4">
              <w:rPr>
                <w:sz w:val="22"/>
                <w:lang w:val="es-ES"/>
              </w:rPr>
              <w:lastRenderedPageBreak/>
              <w:t xml:space="preserve">estación terrena en movimiento a bordo de aeronaves, antes de que la CMR-23 lleve a cabo y apruebe el estudio y el procedimiento que se piden en la resolución para analizar los aspectos de funcionamiento, puesto que la falta de cautela con respecto a dicho funcionamiento repercutiría negativamente en la seguridad de vuelo y perjudicaría a los servicios de satélite y terrenales de otras administraciones». </w:t>
            </w:r>
          </w:p>
          <w:p w14:paraId="7A3FDDB4" w14:textId="7AA1A9A3" w:rsidR="00967792" w:rsidRPr="00A864C4" w:rsidRDefault="00967792" w:rsidP="00B53355">
            <w:pPr>
              <w:spacing w:before="40" w:after="40"/>
              <w:rPr>
                <w:sz w:val="22"/>
                <w:lang w:val="es-ES"/>
              </w:rPr>
            </w:pPr>
            <w:r w:rsidRPr="00A864C4">
              <w:rPr>
                <w:sz w:val="22"/>
                <w:lang w:val="es-ES"/>
              </w:rPr>
              <w:t>22.32</w:t>
            </w:r>
            <w:r w:rsidRPr="00A864C4">
              <w:rPr>
                <w:sz w:val="22"/>
                <w:lang w:val="es-ES"/>
              </w:rPr>
              <w:tab/>
              <w:t xml:space="preserve">El </w:t>
            </w:r>
            <w:r w:rsidRPr="00A864C4">
              <w:rPr>
                <w:b/>
                <w:bCs/>
                <w:sz w:val="22"/>
                <w:lang w:val="es-ES"/>
              </w:rPr>
              <w:t>Presidente</w:t>
            </w:r>
            <w:r w:rsidRPr="00A864C4">
              <w:rPr>
                <w:sz w:val="22"/>
                <w:lang w:val="es-ES"/>
              </w:rPr>
              <w:t xml:space="preserve"> confirma que la declaración se incluirá en el acta. Entiende que, suponiendo que el cuadro 1 300-1 525 MHz y el ADD</w:t>
            </w:r>
            <w:r w:rsidR="00A865C3">
              <w:rPr>
                <w:sz w:val="22"/>
                <w:lang w:val="es-ES"/>
              </w:rPr>
              <w:t> </w:t>
            </w:r>
            <w:r w:rsidRPr="00A864C4">
              <w:rPr>
                <w:sz w:val="22"/>
                <w:lang w:val="es-ES"/>
              </w:rPr>
              <w:t>5.R1a se enmienden como se propone, la plenaria podría aprobar en segunda lectura los textos que figuran en el Documento 501, salvo la nota</w:t>
            </w:r>
            <w:r w:rsidR="00A865C3">
              <w:rPr>
                <w:sz w:val="22"/>
                <w:lang w:val="es-ES"/>
              </w:rPr>
              <w:t> </w:t>
            </w:r>
            <w:r w:rsidRPr="00A864C4">
              <w:rPr>
                <w:sz w:val="22"/>
                <w:lang w:val="es-ES"/>
              </w:rPr>
              <w:t>5.R1b.</w:t>
            </w:r>
          </w:p>
          <w:p w14:paraId="439FD0A4" w14:textId="6C9C83AA" w:rsidR="00967792" w:rsidRPr="00A864C4" w:rsidRDefault="00967792" w:rsidP="00B53355">
            <w:pPr>
              <w:spacing w:before="40" w:after="40"/>
              <w:rPr>
                <w:b/>
                <w:bCs/>
                <w:sz w:val="22"/>
                <w:lang w:val="es-ES"/>
              </w:rPr>
            </w:pPr>
            <w:r w:rsidRPr="00A864C4">
              <w:rPr>
                <w:sz w:val="22"/>
                <w:lang w:val="es-ES"/>
              </w:rPr>
              <w:t>22.33</w:t>
            </w:r>
            <w:r w:rsidRPr="00A864C4">
              <w:rPr>
                <w:sz w:val="22"/>
                <w:lang w:val="es-ES"/>
              </w:rPr>
              <w:tab/>
              <w:t xml:space="preserve">Así se </w:t>
            </w:r>
            <w:r w:rsidRPr="00A864C4">
              <w:rPr>
                <w:b/>
                <w:sz w:val="22"/>
                <w:lang w:val="es-ES"/>
              </w:rPr>
              <w:t>acuerda</w:t>
            </w:r>
            <w:r w:rsidRPr="00A864C4">
              <w:rPr>
                <w:bCs/>
                <w:sz w:val="22"/>
                <w:lang w:val="es-ES"/>
              </w:rPr>
              <w:t>.</w:t>
            </w:r>
          </w:p>
        </w:tc>
        <w:tc>
          <w:tcPr>
            <w:tcW w:w="1548" w:type="pct"/>
          </w:tcPr>
          <w:p w14:paraId="4A69897E" w14:textId="77777777" w:rsidR="00967792" w:rsidRPr="00266695" w:rsidDel="009440F5" w:rsidRDefault="00967792" w:rsidP="00B53355">
            <w:pPr>
              <w:pStyle w:val="Tabletext"/>
              <w:rPr>
                <w:lang w:val="es-ES"/>
              </w:rPr>
            </w:pPr>
          </w:p>
        </w:tc>
      </w:tr>
      <w:tr w:rsidR="00967792" w:rsidRPr="00D2027A" w14:paraId="3A085FBC" w14:textId="77777777" w:rsidTr="00924C8B">
        <w:trPr>
          <w:jc w:val="center"/>
        </w:trPr>
        <w:tc>
          <w:tcPr>
            <w:tcW w:w="183" w:type="pct"/>
          </w:tcPr>
          <w:p w14:paraId="54B335DE" w14:textId="158310F3" w:rsidR="00967792" w:rsidRPr="00A865C3" w:rsidRDefault="00967792" w:rsidP="00B53355">
            <w:pPr>
              <w:pStyle w:val="Tabletext"/>
              <w:rPr>
                <w:highlight w:val="yellow"/>
                <w:lang w:val="es-ES"/>
              </w:rPr>
            </w:pPr>
            <w:r w:rsidRPr="009B6F4D">
              <w:rPr>
                <w:lang w:val="es-ES"/>
              </w:rPr>
              <w:lastRenderedPageBreak/>
              <w:t>60</w:t>
            </w:r>
          </w:p>
        </w:tc>
        <w:tc>
          <w:tcPr>
            <w:tcW w:w="434" w:type="pct"/>
          </w:tcPr>
          <w:p w14:paraId="7A265631" w14:textId="2043ECB6" w:rsidR="00967792" w:rsidRPr="00A616CA" w:rsidRDefault="00967792" w:rsidP="00B53355">
            <w:pPr>
              <w:pStyle w:val="Tabletext"/>
              <w:rPr>
                <w:lang w:val="es-ES"/>
              </w:rPr>
            </w:pPr>
            <w:r w:rsidRPr="00A616CA">
              <w:rPr>
                <w:lang w:val="es-ES"/>
              </w:rPr>
              <w:t>CMR-15</w:t>
            </w:r>
          </w:p>
        </w:tc>
        <w:tc>
          <w:tcPr>
            <w:tcW w:w="523" w:type="pct"/>
          </w:tcPr>
          <w:p w14:paraId="426F9989" w14:textId="2377E810" w:rsidR="00967792" w:rsidRPr="00D2027A" w:rsidRDefault="00967792" w:rsidP="00A864C4">
            <w:pPr>
              <w:pStyle w:val="Tabletext"/>
              <w:rPr>
                <w:rFonts w:asciiTheme="majorBidi" w:hAnsiTheme="majorBidi" w:cstheme="majorBidi"/>
                <w:bCs/>
                <w:szCs w:val="24"/>
                <w:lang w:val="es-ES"/>
              </w:rPr>
            </w:pPr>
            <w:r w:rsidRPr="00A864C4">
              <w:rPr>
                <w:lang w:val="es-ES"/>
              </w:rPr>
              <w:t>14ª</w:t>
            </w:r>
            <w:r w:rsidRPr="00D2027A">
              <w:rPr>
                <w:rFonts w:asciiTheme="majorBidi" w:hAnsiTheme="majorBidi" w:cstheme="majorBidi"/>
                <w:bCs/>
                <w:szCs w:val="24"/>
                <w:lang w:val="es-ES"/>
              </w:rPr>
              <w:t xml:space="preserve"> Plenaria</w:t>
            </w:r>
            <w:r w:rsidR="002D0088">
              <w:rPr>
                <w:rFonts w:asciiTheme="majorBidi" w:hAnsiTheme="majorBidi" w:cstheme="majorBidi"/>
                <w:bCs/>
                <w:szCs w:val="24"/>
                <w:lang w:val="es-ES"/>
              </w:rPr>
              <w:br/>
            </w:r>
            <w:hyperlink r:id="rId204">
              <w:r w:rsidRPr="00D2027A">
                <w:rPr>
                  <w:rStyle w:val="Hyperlink"/>
                  <w:rFonts w:asciiTheme="majorBidi" w:hAnsiTheme="majorBidi" w:cstheme="majorBidi"/>
                  <w:bCs/>
                  <w:szCs w:val="24"/>
                  <w:lang w:val="es-ES"/>
                </w:rPr>
                <w:t>Doc. CMR15/511</w:t>
              </w:r>
            </w:hyperlink>
          </w:p>
          <w:p w14:paraId="2BC5A01F" w14:textId="6C3FC1E2" w:rsidR="00967792" w:rsidRPr="00D2027A" w:rsidRDefault="00967792" w:rsidP="00A864C4">
            <w:pPr>
              <w:pStyle w:val="Tabletext"/>
              <w:rPr>
                <w:rFonts w:asciiTheme="majorBidi" w:hAnsiTheme="majorBidi" w:cstheme="majorBidi"/>
                <w:bCs/>
                <w:szCs w:val="24"/>
                <w:lang w:val="es-ES"/>
              </w:rPr>
            </w:pPr>
            <w:r w:rsidRPr="00A864C4">
              <w:rPr>
                <w:lang w:val="es-ES"/>
              </w:rPr>
              <w:t>Aprobación</w:t>
            </w:r>
            <w:r w:rsidRPr="00D2027A">
              <w:rPr>
                <w:rFonts w:asciiTheme="majorBidi" w:hAnsiTheme="majorBidi" w:cstheme="majorBidi"/>
                <w:bCs/>
                <w:szCs w:val="24"/>
                <w:lang w:val="es-ES"/>
              </w:rPr>
              <w:t xml:space="preserve"> del Documento CMR15/499</w:t>
            </w:r>
          </w:p>
        </w:tc>
        <w:tc>
          <w:tcPr>
            <w:tcW w:w="2312" w:type="pct"/>
          </w:tcPr>
          <w:p w14:paraId="30341691" w14:textId="77777777" w:rsidR="00967792" w:rsidRPr="00A864C4" w:rsidRDefault="00967792" w:rsidP="00B53355">
            <w:pPr>
              <w:spacing w:before="40" w:after="40"/>
              <w:rPr>
                <w:sz w:val="22"/>
                <w:lang w:val="es-ES"/>
              </w:rPr>
            </w:pPr>
            <w:r w:rsidRPr="00A864C4">
              <w:rPr>
                <w:sz w:val="22"/>
                <w:lang w:val="es-ES"/>
              </w:rPr>
              <w:t>16.19</w:t>
            </w:r>
            <w:r w:rsidRPr="00A864C4">
              <w:rPr>
                <w:b/>
                <w:bCs/>
                <w:sz w:val="22"/>
                <w:lang w:val="es-ES"/>
              </w:rPr>
              <w:tab/>
            </w:r>
            <w:r w:rsidRPr="00A864C4">
              <w:rPr>
                <w:sz w:val="22"/>
                <w:lang w:val="es-ES"/>
              </w:rPr>
              <w:t xml:space="preserve">El </w:t>
            </w:r>
            <w:r w:rsidRPr="00A864C4">
              <w:rPr>
                <w:b/>
                <w:bCs/>
                <w:sz w:val="22"/>
                <w:lang w:val="es-ES"/>
              </w:rPr>
              <w:t xml:space="preserve">Presidente </w:t>
            </w:r>
            <w:r w:rsidRPr="00A864C4">
              <w:rPr>
                <w:sz w:val="22"/>
                <w:lang w:val="es-ES"/>
              </w:rPr>
              <w:t>invita a los delegados a que prosigan el examen de las Resoluciones PLEN/1 (CMR-15) y PLEN/2 (CMR-15) que figuran en el Documento 499.</w:t>
            </w:r>
          </w:p>
          <w:p w14:paraId="595272AB" w14:textId="77777777" w:rsidR="00967792" w:rsidRPr="00A864C4" w:rsidRDefault="00967792" w:rsidP="00B53355">
            <w:pPr>
              <w:spacing w:before="40" w:after="40"/>
              <w:rPr>
                <w:sz w:val="22"/>
                <w:lang w:val="es-ES"/>
              </w:rPr>
            </w:pPr>
            <w:r w:rsidRPr="00A864C4">
              <w:rPr>
                <w:sz w:val="22"/>
                <w:lang w:val="es-ES"/>
              </w:rPr>
              <w:t>16.20</w:t>
            </w:r>
            <w:r w:rsidRPr="00A864C4">
              <w:rPr>
                <w:sz w:val="22"/>
                <w:lang w:val="es-ES"/>
              </w:rPr>
              <w:tab/>
              <w:t xml:space="preserve">El </w:t>
            </w:r>
            <w:r w:rsidRPr="00A864C4">
              <w:rPr>
                <w:b/>
                <w:bCs/>
                <w:sz w:val="22"/>
                <w:lang w:val="es-ES"/>
              </w:rPr>
              <w:t>delegado de la República Islámica del Irán</w:t>
            </w:r>
            <w:r w:rsidRPr="00A864C4">
              <w:rPr>
                <w:bCs/>
                <w:sz w:val="22"/>
                <w:lang w:val="es-ES"/>
              </w:rPr>
              <w:t xml:space="preserve"> informa del resultado de las consultas oficiosas mantenidas en relación con la lista de países que figura en las Resoluciones </w:t>
            </w:r>
            <w:r w:rsidRPr="00A864C4">
              <w:rPr>
                <w:sz w:val="22"/>
                <w:lang w:val="es-ES"/>
              </w:rPr>
              <w:t>PLEN/1 (CMR</w:t>
            </w:r>
            <w:r w:rsidRPr="00A864C4">
              <w:rPr>
                <w:sz w:val="22"/>
                <w:lang w:val="es-ES"/>
              </w:rPr>
              <w:noBreakHyphen/>
              <w:t xml:space="preserve">15) y PLEN/2 (CMR-15), y afirma que se ha acordado una solución sobre las inquietudes planteadas, en virtud de la cual, una vez que la Oficina de Radiocomunicaciones haya recibido la notificación pertinente de la administración correspondiente, seguirá su práctica habitual de comprobar, de conformidad con el número 11.31, si se cumplen las condiciones establecidas relativas a las notas aplicables. Si las conclusiones de la Oficina fueran desfavorables, todas las asignaciones recibidas en el marco del número 11.31 se devolverían a la administración notificante. No obstante, si la administración notificante fuera capaz de garantizar a sus administraciones limítrofes que sus actividades de explotación no causarán interferencia en su territorio, podría acordarse explícitamente una excepción relativa a los límites especificados en esas notas. Teniendo esto en cuenta, se propone que la lista de países que figura en ambas resoluciones se mantenga en su estado actual. El emplazamiento de estaciones terrenas </w:t>
            </w:r>
            <w:r w:rsidRPr="00A864C4">
              <w:rPr>
                <w:sz w:val="22"/>
                <w:lang w:val="es-ES"/>
              </w:rPr>
              <w:lastRenderedPageBreak/>
              <w:t>en el territorio de terceros países no está permitido, en virtud de lo establecido en la Resolución 1 (Rev.CMR-97).</w:t>
            </w:r>
          </w:p>
          <w:p w14:paraId="4B05FA97" w14:textId="77777777" w:rsidR="00967792" w:rsidRPr="00A864C4" w:rsidRDefault="00967792" w:rsidP="00B53355">
            <w:pPr>
              <w:spacing w:before="40" w:after="40"/>
              <w:rPr>
                <w:sz w:val="22"/>
                <w:lang w:val="es-ES"/>
              </w:rPr>
            </w:pPr>
            <w:r w:rsidRPr="00A864C4">
              <w:rPr>
                <w:sz w:val="22"/>
                <w:lang w:val="es-ES"/>
              </w:rPr>
              <w:t>16.21</w:t>
            </w:r>
            <w:r w:rsidRPr="00A864C4">
              <w:rPr>
                <w:sz w:val="22"/>
                <w:lang w:val="es-ES"/>
              </w:rPr>
              <w:tab/>
              <w:t xml:space="preserve">El </w:t>
            </w:r>
            <w:r w:rsidRPr="00A864C4">
              <w:rPr>
                <w:b/>
                <w:bCs/>
                <w:sz w:val="22"/>
                <w:lang w:val="es-ES"/>
              </w:rPr>
              <w:t xml:space="preserve">Director de la BR </w:t>
            </w:r>
            <w:r w:rsidRPr="00A864C4">
              <w:rPr>
                <w:sz w:val="22"/>
                <w:lang w:val="es-ES"/>
              </w:rPr>
              <w:t>confirma que la Oficina de Radiocomunicaciones seguiría el procedimiento descrito en esos casos.</w:t>
            </w:r>
          </w:p>
          <w:p w14:paraId="579C84BA" w14:textId="184B384C" w:rsidR="00967792" w:rsidRPr="00A864C4" w:rsidRDefault="00967792" w:rsidP="00B53355">
            <w:pPr>
              <w:spacing w:before="40" w:after="40"/>
              <w:rPr>
                <w:sz w:val="22"/>
                <w:lang w:val="es-ES"/>
              </w:rPr>
            </w:pPr>
            <w:r w:rsidRPr="00A864C4">
              <w:rPr>
                <w:sz w:val="22"/>
                <w:lang w:val="es-ES"/>
              </w:rPr>
              <w:t>16.26</w:t>
            </w:r>
            <w:r w:rsidRPr="00A864C4">
              <w:rPr>
                <w:sz w:val="22"/>
                <w:lang w:val="es-ES"/>
              </w:rPr>
              <w:tab/>
              <w:t xml:space="preserve">Así </w:t>
            </w:r>
            <w:r w:rsidRPr="00A864C4">
              <w:rPr>
                <w:b/>
                <w:sz w:val="22"/>
                <w:lang w:val="es-ES"/>
              </w:rPr>
              <w:t>se acuerda</w:t>
            </w:r>
            <w:r w:rsidRPr="00A864C4">
              <w:rPr>
                <w:bCs/>
                <w:sz w:val="22"/>
                <w:lang w:val="es-ES"/>
              </w:rPr>
              <w:t>.</w:t>
            </w:r>
            <w:r w:rsidRPr="00A864C4">
              <w:rPr>
                <w:sz w:val="22"/>
                <w:lang w:val="es-ES"/>
              </w:rPr>
              <w:t xml:space="preserve"> </w:t>
            </w:r>
          </w:p>
        </w:tc>
        <w:tc>
          <w:tcPr>
            <w:tcW w:w="1548" w:type="pct"/>
          </w:tcPr>
          <w:p w14:paraId="56D810C6" w14:textId="6FEE3257" w:rsidR="00967792" w:rsidRPr="00D2027A" w:rsidDel="009440F5" w:rsidRDefault="00F65386" w:rsidP="00B53355">
            <w:pPr>
              <w:pStyle w:val="Tabletext"/>
              <w:rPr>
                <w:rFonts w:asciiTheme="majorBidi" w:hAnsiTheme="majorBidi" w:cstheme="majorBidi"/>
                <w:szCs w:val="24"/>
                <w:lang w:val="es-ES"/>
              </w:rPr>
            </w:pPr>
            <w:r>
              <w:rPr>
                <w:rFonts w:asciiTheme="majorBidi" w:hAnsiTheme="majorBidi" w:cstheme="majorBidi"/>
                <w:szCs w:val="24"/>
                <w:lang w:val="es-ES"/>
              </w:rPr>
              <w:lastRenderedPageBreak/>
              <w:t>–</w:t>
            </w:r>
          </w:p>
        </w:tc>
      </w:tr>
      <w:tr w:rsidR="00967792" w:rsidRPr="00D2027A" w14:paraId="4F994886" w14:textId="77777777" w:rsidTr="00924C8B">
        <w:trPr>
          <w:jc w:val="center"/>
        </w:trPr>
        <w:tc>
          <w:tcPr>
            <w:tcW w:w="183" w:type="pct"/>
          </w:tcPr>
          <w:p w14:paraId="2384F936" w14:textId="4BA6CD3C" w:rsidR="00967792" w:rsidRPr="00A616CA" w:rsidRDefault="00967792" w:rsidP="00B53355">
            <w:pPr>
              <w:pStyle w:val="Tabletext"/>
              <w:rPr>
                <w:lang w:val="es-ES"/>
              </w:rPr>
            </w:pPr>
            <w:r w:rsidRPr="00A616CA">
              <w:rPr>
                <w:lang w:val="es-ES"/>
              </w:rPr>
              <w:t>61</w:t>
            </w:r>
          </w:p>
        </w:tc>
        <w:tc>
          <w:tcPr>
            <w:tcW w:w="434" w:type="pct"/>
          </w:tcPr>
          <w:p w14:paraId="3F59474A" w14:textId="0407B1E3" w:rsidR="00967792" w:rsidRPr="00A616CA" w:rsidRDefault="00967792" w:rsidP="00B53355">
            <w:pPr>
              <w:pStyle w:val="Tabletext"/>
              <w:rPr>
                <w:lang w:val="es-ES"/>
              </w:rPr>
            </w:pPr>
            <w:r w:rsidRPr="00A616CA">
              <w:rPr>
                <w:lang w:val="es-ES"/>
              </w:rPr>
              <w:t>CMR-15</w:t>
            </w:r>
          </w:p>
        </w:tc>
        <w:tc>
          <w:tcPr>
            <w:tcW w:w="523" w:type="pct"/>
          </w:tcPr>
          <w:p w14:paraId="66CB10D6" w14:textId="25D698A0" w:rsidR="00967792" w:rsidRPr="00D2027A" w:rsidRDefault="00967792" w:rsidP="00A864C4">
            <w:pPr>
              <w:pStyle w:val="Tabletext"/>
              <w:rPr>
                <w:rFonts w:asciiTheme="majorBidi" w:hAnsiTheme="majorBidi" w:cstheme="majorBidi"/>
                <w:bCs/>
                <w:szCs w:val="24"/>
                <w:lang w:val="es-ES"/>
              </w:rPr>
            </w:pPr>
            <w:r w:rsidRPr="00D2027A">
              <w:rPr>
                <w:rFonts w:asciiTheme="majorBidi" w:hAnsiTheme="majorBidi" w:cstheme="majorBidi"/>
                <w:bCs/>
                <w:szCs w:val="24"/>
                <w:lang w:val="es-ES"/>
              </w:rPr>
              <w:t xml:space="preserve">14ª </w:t>
            </w:r>
            <w:r w:rsidRPr="00A864C4">
              <w:rPr>
                <w:lang w:val="es-ES"/>
              </w:rPr>
              <w:t>Plenaria</w:t>
            </w:r>
            <w:r w:rsidR="002D0088">
              <w:rPr>
                <w:rFonts w:asciiTheme="majorBidi" w:hAnsiTheme="majorBidi" w:cstheme="majorBidi"/>
                <w:bCs/>
                <w:szCs w:val="24"/>
                <w:lang w:val="es-ES"/>
              </w:rPr>
              <w:br/>
            </w:r>
            <w:hyperlink r:id="rId205">
              <w:r w:rsidRPr="00D2027A">
                <w:rPr>
                  <w:rStyle w:val="Hyperlink"/>
                  <w:rFonts w:asciiTheme="majorBidi" w:hAnsiTheme="majorBidi" w:cstheme="majorBidi"/>
                  <w:bCs/>
                  <w:szCs w:val="24"/>
                  <w:lang w:val="es-ES"/>
                </w:rPr>
                <w:t>Doc. CMR15/511</w:t>
              </w:r>
            </w:hyperlink>
          </w:p>
          <w:p w14:paraId="5F10B4FA" w14:textId="690B596C" w:rsidR="00967792" w:rsidRPr="00D2027A" w:rsidRDefault="00967792" w:rsidP="00A864C4">
            <w:pPr>
              <w:pStyle w:val="Tabletext"/>
              <w:rPr>
                <w:rFonts w:asciiTheme="majorBidi" w:hAnsiTheme="majorBidi" w:cstheme="majorBidi"/>
                <w:bCs/>
                <w:szCs w:val="24"/>
                <w:lang w:val="es-ES"/>
              </w:rPr>
            </w:pPr>
            <w:r w:rsidRPr="00A864C4">
              <w:rPr>
                <w:lang w:val="es-ES"/>
              </w:rPr>
              <w:t>Aprobación</w:t>
            </w:r>
            <w:r w:rsidRPr="00D2027A">
              <w:rPr>
                <w:rFonts w:asciiTheme="majorBidi" w:hAnsiTheme="majorBidi" w:cstheme="majorBidi"/>
                <w:bCs/>
                <w:szCs w:val="24"/>
                <w:lang w:val="es-ES"/>
              </w:rPr>
              <w:t xml:space="preserve"> del Documento CMR15/501</w:t>
            </w:r>
          </w:p>
        </w:tc>
        <w:tc>
          <w:tcPr>
            <w:tcW w:w="2312" w:type="pct"/>
          </w:tcPr>
          <w:p w14:paraId="7F3BBA9E" w14:textId="77777777" w:rsidR="00967792" w:rsidRPr="00A864C4" w:rsidRDefault="00967792" w:rsidP="00B53355">
            <w:pPr>
              <w:spacing w:before="40" w:after="40"/>
              <w:rPr>
                <w:sz w:val="22"/>
                <w:lang w:val="es-ES"/>
              </w:rPr>
            </w:pPr>
            <w:r w:rsidRPr="00A864C4">
              <w:rPr>
                <w:sz w:val="22"/>
                <w:lang w:val="es-ES"/>
              </w:rPr>
              <w:t>22.36</w:t>
            </w:r>
            <w:r w:rsidRPr="00A864C4">
              <w:rPr>
                <w:sz w:val="22"/>
                <w:lang w:val="es-ES"/>
              </w:rPr>
              <w:tab/>
              <w:t xml:space="preserve">Tras la suspensión de la reunión, seguida de una propuesta inicial del </w:t>
            </w:r>
            <w:r w:rsidRPr="00A864C4">
              <w:rPr>
                <w:b/>
                <w:sz w:val="22"/>
                <w:lang w:val="es-ES"/>
              </w:rPr>
              <w:t>delegado de la República Islámica del Irán</w:t>
            </w:r>
            <w:r w:rsidRPr="00A864C4">
              <w:rPr>
                <w:sz w:val="22"/>
                <w:lang w:val="es-ES"/>
              </w:rPr>
              <w:t xml:space="preserve"> para reiterar su propuesta anterior, y de otra breve suspensión, el </w:t>
            </w:r>
            <w:r w:rsidRPr="00A864C4">
              <w:rPr>
                <w:b/>
                <w:sz w:val="22"/>
                <w:lang w:val="es-ES"/>
              </w:rPr>
              <w:t>delegado de Suecia</w:t>
            </w:r>
            <w:r w:rsidRPr="00A864C4">
              <w:rPr>
                <w:sz w:val="22"/>
                <w:lang w:val="es-ES"/>
              </w:rPr>
              <w:t xml:space="preserve"> afirma que a raíz de las consultas oficiosas mantenidas con varios delegados, se ha acordado un procedimiento consistente, en primer lugar, en pedir al Director de la BR que explique la forma en la que la Oficina aplicaría el ADD 5.R1b sin la expresión «en los países anteriormente mencionados», y posteriormente, en formular una propuesta a la plenaria para que se suprima dicha expresión en la nota, habida cuenta de que la explicación del Director constaría en el acta de la plenaria.</w:t>
            </w:r>
          </w:p>
          <w:p w14:paraId="317343CC" w14:textId="1D1F4212" w:rsidR="00967792" w:rsidRPr="00A864C4" w:rsidRDefault="00967792" w:rsidP="00B53355">
            <w:pPr>
              <w:spacing w:before="40" w:after="40"/>
              <w:rPr>
                <w:sz w:val="22"/>
                <w:lang w:val="es-ES"/>
              </w:rPr>
            </w:pPr>
            <w:r w:rsidRPr="00A864C4">
              <w:rPr>
                <w:sz w:val="22"/>
                <w:lang w:val="es-ES"/>
              </w:rPr>
              <w:t>22.37</w:t>
            </w:r>
            <w:r w:rsidRPr="00A864C4">
              <w:rPr>
                <w:sz w:val="22"/>
                <w:lang w:val="es-ES"/>
              </w:rPr>
              <w:tab/>
              <w:t xml:space="preserve">El </w:t>
            </w:r>
            <w:r w:rsidRPr="00A864C4">
              <w:rPr>
                <w:b/>
                <w:bCs/>
                <w:sz w:val="22"/>
                <w:lang w:val="es-ES"/>
              </w:rPr>
              <w:t>Director de la BR</w:t>
            </w:r>
            <w:r w:rsidRPr="00A864C4">
              <w:rPr>
                <w:sz w:val="22"/>
                <w:lang w:val="es-ES"/>
              </w:rPr>
              <w:t xml:space="preserve"> proporciona la explicación siguiente: </w:t>
            </w:r>
          </w:p>
          <w:p w14:paraId="2DFCC174" w14:textId="6FCDC594" w:rsidR="00967792" w:rsidRPr="00A864C4" w:rsidRDefault="00967792" w:rsidP="00B53355">
            <w:pPr>
              <w:spacing w:before="40" w:after="40"/>
              <w:rPr>
                <w:sz w:val="22"/>
                <w:lang w:val="es-ES"/>
              </w:rPr>
            </w:pPr>
            <w:r w:rsidRPr="00A864C4">
              <w:rPr>
                <w:sz w:val="22"/>
                <w:lang w:val="es-ES"/>
              </w:rPr>
              <w:t xml:space="preserve">«Si se suprime la expresión «en los países anteriormente mencionados», el ADD 5.R1b se refería a varias administraciones, así como a la forma en la que esas administraciones podrían implantar las IMT en la banda 1 452-1 492 MHz en virtud del número </w:t>
            </w:r>
            <w:r w:rsidRPr="00F65386">
              <w:rPr>
                <w:b/>
                <w:bCs/>
                <w:sz w:val="22"/>
                <w:lang w:val="es-ES"/>
              </w:rPr>
              <w:t>9.21</w:t>
            </w:r>
            <w:r w:rsidRPr="00A864C4">
              <w:rPr>
                <w:sz w:val="22"/>
                <w:lang w:val="es-ES"/>
              </w:rPr>
              <w:t xml:space="preserve"> del Reglamento de Radiocomunicaciones con respecto al servicio móvil utilizado para la telemedida aeronáutica, de conformidad con el número </w:t>
            </w:r>
            <w:r w:rsidRPr="00F65386">
              <w:rPr>
                <w:b/>
                <w:bCs/>
                <w:sz w:val="22"/>
                <w:lang w:val="es-ES"/>
              </w:rPr>
              <w:t>5.342</w:t>
            </w:r>
            <w:r w:rsidRPr="00A864C4">
              <w:rPr>
                <w:sz w:val="22"/>
                <w:lang w:val="es-ES"/>
              </w:rPr>
              <w:t xml:space="preserve">. En consecuencia, el ADD 5.R1b se refiere a la relación existente entre el nombre de los países que figuran en el mismo y el nombre de los países que figuran en el número </w:t>
            </w:r>
            <w:r w:rsidRPr="00F65386">
              <w:rPr>
                <w:b/>
                <w:bCs/>
                <w:sz w:val="22"/>
                <w:lang w:val="es-ES"/>
              </w:rPr>
              <w:t>5.342</w:t>
            </w:r>
            <w:r w:rsidRPr="00A864C4">
              <w:rPr>
                <w:sz w:val="22"/>
                <w:lang w:val="es-ES"/>
              </w:rPr>
              <w:t>»</w:t>
            </w:r>
            <w:r w:rsidR="00F65386" w:rsidRPr="00A864C4">
              <w:rPr>
                <w:sz w:val="22"/>
                <w:lang w:val="es-ES"/>
              </w:rPr>
              <w:t>.</w:t>
            </w:r>
          </w:p>
          <w:p w14:paraId="54963889" w14:textId="77777777" w:rsidR="00967792" w:rsidRPr="00A864C4" w:rsidRDefault="00967792" w:rsidP="00B53355">
            <w:pPr>
              <w:spacing w:before="40" w:after="40"/>
              <w:rPr>
                <w:sz w:val="22"/>
                <w:lang w:val="es-ES"/>
              </w:rPr>
            </w:pPr>
            <w:r w:rsidRPr="00A864C4">
              <w:rPr>
                <w:sz w:val="22"/>
                <w:lang w:val="es-ES"/>
              </w:rPr>
              <w:t>22.38</w:t>
            </w:r>
            <w:r w:rsidRPr="00A864C4">
              <w:rPr>
                <w:sz w:val="22"/>
                <w:lang w:val="es-ES"/>
              </w:rPr>
              <w:tab/>
              <w:t xml:space="preserve">A raíz de esa explicación, el </w:t>
            </w:r>
            <w:r w:rsidRPr="00A864C4">
              <w:rPr>
                <w:b/>
                <w:sz w:val="22"/>
                <w:lang w:val="es-ES"/>
              </w:rPr>
              <w:t>Presidente</w:t>
            </w:r>
            <w:r w:rsidRPr="00A864C4">
              <w:rPr>
                <w:sz w:val="22"/>
                <w:lang w:val="es-ES"/>
              </w:rPr>
              <w:t xml:space="preserve"> invita a la plenaria a que apruebe el ADD 5.R1b, teniendo en cuenta que el nombre de los países que figuran en los Documentos 25(Add.1) (Add.4), 28 y 130 se incluirá en el mismo, suprimiéndose al mismo tiempo la expresión «en los países anteriormente mencionados».</w:t>
            </w:r>
          </w:p>
          <w:p w14:paraId="1EFBC585" w14:textId="18E2A41F" w:rsidR="00967792" w:rsidRPr="00A864C4" w:rsidRDefault="00967792" w:rsidP="00B53355">
            <w:pPr>
              <w:spacing w:before="40" w:after="40"/>
              <w:rPr>
                <w:sz w:val="22"/>
                <w:lang w:val="es-ES"/>
              </w:rPr>
            </w:pPr>
            <w:r w:rsidRPr="00A864C4">
              <w:rPr>
                <w:sz w:val="22"/>
                <w:lang w:val="es-ES"/>
              </w:rPr>
              <w:lastRenderedPageBreak/>
              <w:t>22.39</w:t>
            </w:r>
            <w:r w:rsidRPr="00A864C4">
              <w:rPr>
                <w:sz w:val="22"/>
                <w:lang w:val="es-ES"/>
              </w:rPr>
              <w:tab/>
              <w:t xml:space="preserve">Se </w:t>
            </w:r>
            <w:r w:rsidRPr="00A864C4">
              <w:rPr>
                <w:b/>
                <w:sz w:val="22"/>
                <w:lang w:val="es-ES"/>
              </w:rPr>
              <w:t>aprueba</w:t>
            </w:r>
            <w:r w:rsidRPr="00A864C4">
              <w:rPr>
                <w:sz w:val="22"/>
                <w:lang w:val="es-ES"/>
              </w:rPr>
              <w:t xml:space="preserve"> en segunda lectura el ADD 5.R1b, con sus enmiendas.</w:t>
            </w:r>
          </w:p>
        </w:tc>
        <w:tc>
          <w:tcPr>
            <w:tcW w:w="1548" w:type="pct"/>
          </w:tcPr>
          <w:p w14:paraId="00D03BF8" w14:textId="2AB79FDB" w:rsidR="00967792" w:rsidRPr="00D2027A" w:rsidDel="009440F5" w:rsidRDefault="00967792" w:rsidP="00B53355">
            <w:pPr>
              <w:pStyle w:val="Tabletext"/>
              <w:rPr>
                <w:rFonts w:asciiTheme="majorBidi" w:hAnsiTheme="majorBidi" w:cstheme="majorBidi"/>
                <w:szCs w:val="24"/>
                <w:lang w:val="es-ES"/>
              </w:rPr>
            </w:pPr>
            <w:r w:rsidRPr="00D2027A">
              <w:rPr>
                <w:rFonts w:asciiTheme="majorBidi" w:hAnsiTheme="majorBidi" w:cstheme="majorBidi"/>
                <w:bCs/>
                <w:lang w:val="es-ES"/>
              </w:rPr>
              <w:lastRenderedPageBreak/>
              <w:t>La RRB aprobó la Regla de Procedimiento pertinente correspondiente al núm</w:t>
            </w:r>
            <w:r w:rsidR="00A864C4">
              <w:rPr>
                <w:rFonts w:asciiTheme="majorBidi" w:hAnsiTheme="majorBidi" w:cstheme="majorBidi"/>
                <w:bCs/>
                <w:lang w:val="es-ES"/>
              </w:rPr>
              <w:t>ero</w:t>
            </w:r>
            <w:r w:rsidRPr="00D2027A">
              <w:rPr>
                <w:rFonts w:asciiTheme="majorBidi" w:hAnsiTheme="majorBidi" w:cstheme="majorBidi"/>
                <w:bCs/>
                <w:lang w:val="es-ES"/>
              </w:rPr>
              <w:t xml:space="preserve"> </w:t>
            </w:r>
            <w:r w:rsidRPr="00D2027A">
              <w:rPr>
                <w:rFonts w:asciiTheme="majorBidi" w:hAnsiTheme="majorBidi" w:cstheme="majorBidi"/>
                <w:b/>
                <w:lang w:val="es-ES"/>
              </w:rPr>
              <w:t>5.346</w:t>
            </w:r>
            <w:r w:rsidRPr="00D2027A">
              <w:rPr>
                <w:rFonts w:asciiTheme="majorBidi" w:hAnsiTheme="majorBidi" w:cstheme="majorBidi"/>
                <w:bCs/>
                <w:lang w:val="es-ES"/>
              </w:rPr>
              <w:t xml:space="preserve"> del RR en su 73ª reunión (</w:t>
            </w:r>
            <w:hyperlink r:id="rId206" w:history="1">
              <w:r w:rsidRPr="00D2027A">
                <w:rPr>
                  <w:rStyle w:val="Hyperlink"/>
                  <w:rFonts w:asciiTheme="majorBidi" w:hAnsiTheme="majorBidi" w:cstheme="majorBidi"/>
                  <w:bCs/>
                  <w:lang w:val="es-ES"/>
                </w:rPr>
                <w:t>CR/412</w:t>
              </w:r>
            </w:hyperlink>
            <w:r w:rsidRPr="00D2027A">
              <w:rPr>
                <w:rFonts w:asciiTheme="majorBidi" w:hAnsiTheme="majorBidi" w:cstheme="majorBidi"/>
                <w:bCs/>
                <w:lang w:val="es-ES"/>
              </w:rPr>
              <w:t>).</w:t>
            </w:r>
          </w:p>
        </w:tc>
      </w:tr>
      <w:tr w:rsidR="00266695" w:rsidRPr="00D2027A" w14:paraId="76220ACF" w14:textId="77777777" w:rsidTr="00924C8B">
        <w:trPr>
          <w:jc w:val="center"/>
        </w:trPr>
        <w:tc>
          <w:tcPr>
            <w:tcW w:w="183" w:type="pct"/>
          </w:tcPr>
          <w:p w14:paraId="195A4521" w14:textId="2A90E430" w:rsidR="00266695" w:rsidRPr="00A616CA" w:rsidRDefault="00266695" w:rsidP="00B53355">
            <w:pPr>
              <w:pStyle w:val="Tabletext"/>
              <w:rPr>
                <w:lang w:val="es-ES"/>
              </w:rPr>
            </w:pPr>
            <w:r w:rsidRPr="00A616CA">
              <w:rPr>
                <w:lang w:val="es-ES"/>
              </w:rPr>
              <w:t>62</w:t>
            </w:r>
          </w:p>
        </w:tc>
        <w:tc>
          <w:tcPr>
            <w:tcW w:w="434" w:type="pct"/>
          </w:tcPr>
          <w:p w14:paraId="371ABB8F" w14:textId="66D4299B" w:rsidR="00266695" w:rsidRPr="00A616CA" w:rsidRDefault="00266695" w:rsidP="00B53355">
            <w:pPr>
              <w:pStyle w:val="Tabletext"/>
              <w:rPr>
                <w:lang w:val="es-ES"/>
              </w:rPr>
            </w:pPr>
            <w:r w:rsidRPr="00A616CA">
              <w:rPr>
                <w:lang w:val="es-ES"/>
              </w:rPr>
              <w:t>CMR-15</w:t>
            </w:r>
          </w:p>
        </w:tc>
        <w:tc>
          <w:tcPr>
            <w:tcW w:w="523" w:type="pct"/>
          </w:tcPr>
          <w:p w14:paraId="2C2A21DB" w14:textId="76444652" w:rsidR="00266695" w:rsidRPr="00D2027A" w:rsidRDefault="00266695" w:rsidP="00A864C4">
            <w:pPr>
              <w:pStyle w:val="Tabletext"/>
              <w:rPr>
                <w:rFonts w:asciiTheme="majorBidi" w:hAnsiTheme="majorBidi" w:cstheme="majorBidi"/>
                <w:bCs/>
                <w:szCs w:val="24"/>
                <w:lang w:val="es-ES"/>
              </w:rPr>
            </w:pPr>
            <w:r w:rsidRPr="00A864C4">
              <w:rPr>
                <w:lang w:val="es-ES"/>
              </w:rPr>
              <w:t>14ª</w:t>
            </w:r>
            <w:r w:rsidRPr="00D2027A">
              <w:rPr>
                <w:rFonts w:asciiTheme="majorBidi" w:hAnsiTheme="majorBidi" w:cstheme="majorBidi"/>
                <w:bCs/>
                <w:szCs w:val="24"/>
                <w:lang w:val="es-ES"/>
              </w:rPr>
              <w:t xml:space="preserve"> Plenaria</w:t>
            </w:r>
            <w:r w:rsidR="002D0088">
              <w:rPr>
                <w:rFonts w:asciiTheme="majorBidi" w:hAnsiTheme="majorBidi" w:cstheme="majorBidi"/>
                <w:bCs/>
                <w:szCs w:val="24"/>
                <w:lang w:val="es-ES"/>
              </w:rPr>
              <w:br/>
            </w:r>
            <w:hyperlink r:id="rId207">
              <w:r w:rsidRPr="00D2027A">
                <w:rPr>
                  <w:rStyle w:val="Hyperlink"/>
                  <w:rFonts w:asciiTheme="majorBidi" w:hAnsiTheme="majorBidi" w:cstheme="majorBidi"/>
                  <w:bCs/>
                  <w:szCs w:val="24"/>
                  <w:lang w:val="es-ES"/>
                </w:rPr>
                <w:t>Doc. CMR15/511</w:t>
              </w:r>
            </w:hyperlink>
          </w:p>
          <w:p w14:paraId="179A3C1C" w14:textId="122B8B90" w:rsidR="00266695" w:rsidRPr="00D2027A" w:rsidRDefault="00266695" w:rsidP="00A864C4">
            <w:pPr>
              <w:pStyle w:val="Tabletext"/>
              <w:rPr>
                <w:rFonts w:asciiTheme="majorBidi" w:hAnsiTheme="majorBidi" w:cstheme="majorBidi"/>
                <w:bCs/>
                <w:szCs w:val="24"/>
                <w:lang w:val="es-ES"/>
              </w:rPr>
            </w:pPr>
            <w:r>
              <w:rPr>
                <w:rFonts w:asciiTheme="majorBidi" w:hAnsiTheme="majorBidi" w:cstheme="majorBidi"/>
                <w:bCs/>
                <w:szCs w:val="24"/>
                <w:lang w:val="es-ES"/>
              </w:rPr>
              <w:t xml:space="preserve">Aprobación del </w:t>
            </w:r>
            <w:r w:rsidRPr="00A864C4">
              <w:rPr>
                <w:lang w:val="es-ES"/>
              </w:rPr>
              <w:t>Documento</w:t>
            </w:r>
            <w:r w:rsidRPr="00D2027A">
              <w:rPr>
                <w:rFonts w:asciiTheme="majorBidi" w:hAnsiTheme="majorBidi" w:cstheme="majorBidi"/>
                <w:bCs/>
                <w:szCs w:val="24"/>
                <w:lang w:val="es-ES"/>
              </w:rPr>
              <w:t xml:space="preserve"> CMR15/502</w:t>
            </w:r>
          </w:p>
        </w:tc>
        <w:tc>
          <w:tcPr>
            <w:tcW w:w="2312" w:type="pct"/>
          </w:tcPr>
          <w:p w14:paraId="72362EBA" w14:textId="77777777" w:rsidR="00266695" w:rsidRPr="00A864C4" w:rsidRDefault="00266695" w:rsidP="00B53355">
            <w:pPr>
              <w:spacing w:before="40" w:after="40"/>
              <w:rPr>
                <w:sz w:val="22"/>
                <w:lang w:val="es-ES"/>
              </w:rPr>
            </w:pPr>
            <w:r w:rsidRPr="00A864C4">
              <w:rPr>
                <w:sz w:val="22"/>
                <w:lang w:val="es-ES"/>
              </w:rPr>
              <w:t>23.1</w:t>
            </w:r>
            <w:r w:rsidRPr="00A864C4">
              <w:rPr>
                <w:sz w:val="22"/>
                <w:lang w:val="es-ES"/>
              </w:rPr>
              <w:tab/>
              <w:t xml:space="preserve">El </w:t>
            </w:r>
            <w:r w:rsidRPr="00A864C4">
              <w:rPr>
                <w:b/>
                <w:bCs/>
                <w:sz w:val="22"/>
                <w:lang w:val="es-ES"/>
              </w:rPr>
              <w:t xml:space="preserve">Presidente de la Comisión de Redacción </w:t>
            </w:r>
            <w:r w:rsidRPr="00A864C4">
              <w:rPr>
                <w:sz w:val="22"/>
                <w:lang w:val="es-ES"/>
              </w:rPr>
              <w:t>presenta el Documento 502, que trata sobre la corrección de errores tipográficos y otros errores evidentes en cada versión de la edición de 2012 del Reglamento de Radiocomunicaciones. La conferencia acuerda autorizar al Director de la BR a que incluya las correcciones en la siguiente edición del Reglamento.</w:t>
            </w:r>
          </w:p>
          <w:p w14:paraId="23AB91CE" w14:textId="77777777" w:rsidR="00266695" w:rsidRPr="00A864C4" w:rsidRDefault="00266695" w:rsidP="00B53355">
            <w:pPr>
              <w:spacing w:before="40" w:after="40"/>
              <w:rPr>
                <w:sz w:val="22"/>
                <w:lang w:val="es-ES"/>
              </w:rPr>
            </w:pPr>
            <w:r w:rsidRPr="00A864C4">
              <w:rPr>
                <w:sz w:val="22"/>
                <w:lang w:val="es-ES"/>
              </w:rPr>
              <w:t>23.2</w:t>
            </w:r>
            <w:r w:rsidRPr="00A864C4">
              <w:rPr>
                <w:sz w:val="22"/>
                <w:lang w:val="es-ES"/>
              </w:rPr>
              <w:tab/>
              <w:t xml:space="preserve">El </w:t>
            </w:r>
            <w:r w:rsidRPr="00A864C4">
              <w:rPr>
                <w:b/>
                <w:bCs/>
                <w:sz w:val="22"/>
                <w:lang w:val="es-ES"/>
              </w:rPr>
              <w:t>Presidente</w:t>
            </w:r>
            <w:r w:rsidRPr="00A864C4">
              <w:rPr>
                <w:sz w:val="22"/>
                <w:lang w:val="es-ES"/>
              </w:rPr>
              <w:t xml:space="preserve"> entiende que la conferencia aprueba que se adopte esa medida.</w:t>
            </w:r>
          </w:p>
          <w:p w14:paraId="1300CBE0" w14:textId="3F264408" w:rsidR="00266695" w:rsidRPr="00A864C4" w:rsidRDefault="00266695" w:rsidP="00B53355">
            <w:pPr>
              <w:spacing w:before="40" w:after="40"/>
              <w:rPr>
                <w:sz w:val="22"/>
                <w:lang w:val="es-ES"/>
              </w:rPr>
            </w:pPr>
            <w:r w:rsidRPr="00A864C4">
              <w:rPr>
                <w:sz w:val="22"/>
                <w:lang w:val="es-ES"/>
              </w:rPr>
              <w:t>23.3</w:t>
            </w:r>
            <w:r w:rsidRPr="00A864C4">
              <w:rPr>
                <w:sz w:val="22"/>
                <w:lang w:val="es-ES"/>
              </w:rPr>
              <w:tab/>
              <w:t xml:space="preserve">Así se </w:t>
            </w:r>
            <w:r w:rsidRPr="00A864C4">
              <w:rPr>
                <w:b/>
                <w:sz w:val="22"/>
                <w:lang w:val="es-ES"/>
              </w:rPr>
              <w:t>acuerda</w:t>
            </w:r>
            <w:r w:rsidRPr="00A864C4">
              <w:rPr>
                <w:sz w:val="22"/>
                <w:lang w:val="es-ES"/>
              </w:rPr>
              <w:t>.</w:t>
            </w:r>
          </w:p>
        </w:tc>
        <w:tc>
          <w:tcPr>
            <w:tcW w:w="1548" w:type="pct"/>
          </w:tcPr>
          <w:p w14:paraId="51A65BF1" w14:textId="28D067FB" w:rsidR="00266695" w:rsidRPr="00266695" w:rsidDel="009440F5" w:rsidRDefault="00266695" w:rsidP="00B53355">
            <w:pPr>
              <w:pStyle w:val="Tabletext"/>
              <w:rPr>
                <w:lang w:val="es-ES"/>
              </w:rPr>
            </w:pPr>
            <w:r w:rsidRPr="00266695">
              <w:rPr>
                <w:lang w:val="es-ES"/>
              </w:rPr>
              <w:t>–</w:t>
            </w:r>
          </w:p>
        </w:tc>
      </w:tr>
      <w:tr w:rsidR="00967792" w:rsidRPr="00D2027A" w14:paraId="158A1CF8" w14:textId="77777777" w:rsidTr="00924C8B">
        <w:trPr>
          <w:jc w:val="center"/>
        </w:trPr>
        <w:tc>
          <w:tcPr>
            <w:tcW w:w="183" w:type="pct"/>
          </w:tcPr>
          <w:p w14:paraId="0EE04B35" w14:textId="6599B428" w:rsidR="00967792" w:rsidRPr="00A616CA" w:rsidRDefault="00967792" w:rsidP="00B53355">
            <w:pPr>
              <w:pStyle w:val="Tabletext"/>
              <w:rPr>
                <w:lang w:val="es-ES"/>
              </w:rPr>
            </w:pPr>
            <w:r w:rsidRPr="00A616CA">
              <w:rPr>
                <w:lang w:val="es-ES"/>
              </w:rPr>
              <w:t>63</w:t>
            </w:r>
          </w:p>
        </w:tc>
        <w:tc>
          <w:tcPr>
            <w:tcW w:w="434" w:type="pct"/>
          </w:tcPr>
          <w:p w14:paraId="4DB1EA53" w14:textId="6F967C25" w:rsidR="00967792" w:rsidRPr="00A616CA" w:rsidRDefault="00967792" w:rsidP="00B53355">
            <w:pPr>
              <w:pStyle w:val="Tabletext"/>
              <w:rPr>
                <w:lang w:val="es-ES"/>
              </w:rPr>
            </w:pPr>
            <w:r w:rsidRPr="00A616CA">
              <w:rPr>
                <w:lang w:val="es-ES"/>
              </w:rPr>
              <w:t>CMR-19</w:t>
            </w:r>
          </w:p>
        </w:tc>
        <w:tc>
          <w:tcPr>
            <w:tcW w:w="523" w:type="pct"/>
          </w:tcPr>
          <w:p w14:paraId="41B8808D" w14:textId="2E5C813C" w:rsidR="00967792" w:rsidRPr="00D2027A" w:rsidRDefault="00967792" w:rsidP="00A864C4">
            <w:pPr>
              <w:pStyle w:val="Tabletext"/>
              <w:rPr>
                <w:rFonts w:asciiTheme="majorBidi" w:hAnsiTheme="majorBidi" w:cstheme="majorBidi"/>
                <w:bCs/>
                <w:szCs w:val="24"/>
                <w:lang w:val="es-ES"/>
              </w:rPr>
            </w:pPr>
            <w:r w:rsidRPr="00D2027A">
              <w:rPr>
                <w:rFonts w:asciiTheme="majorBidi" w:hAnsiTheme="majorBidi" w:cstheme="majorBidi"/>
                <w:bCs/>
                <w:szCs w:val="24"/>
                <w:lang w:val="es-ES"/>
              </w:rPr>
              <w:t>4ª Plenaria</w:t>
            </w:r>
            <w:r w:rsidR="002D0088">
              <w:rPr>
                <w:rFonts w:asciiTheme="majorBidi" w:hAnsiTheme="majorBidi" w:cstheme="majorBidi"/>
                <w:bCs/>
                <w:szCs w:val="24"/>
                <w:lang w:val="es-ES"/>
              </w:rPr>
              <w:br/>
            </w:r>
            <w:r w:rsidRPr="00D2027A">
              <w:rPr>
                <w:rFonts w:asciiTheme="majorBidi" w:hAnsiTheme="majorBidi" w:cstheme="majorBidi"/>
                <w:bCs/>
                <w:szCs w:val="24"/>
                <w:lang w:val="es-ES"/>
              </w:rPr>
              <w:t xml:space="preserve">Doc. </w:t>
            </w:r>
            <w:hyperlink r:id="rId208" w:history="1">
              <w:r w:rsidRPr="00D2027A">
                <w:rPr>
                  <w:rStyle w:val="Hyperlink"/>
                  <w:rFonts w:asciiTheme="majorBidi" w:hAnsiTheme="majorBidi" w:cstheme="majorBidi"/>
                  <w:bCs/>
                  <w:szCs w:val="24"/>
                  <w:lang w:val="es-ES"/>
                </w:rPr>
                <w:t>CMR19/237</w:t>
              </w:r>
            </w:hyperlink>
          </w:p>
          <w:p w14:paraId="3D77433A" w14:textId="4A5CCEC2" w:rsidR="00967792" w:rsidRPr="00D2027A" w:rsidRDefault="00967792" w:rsidP="00A864C4">
            <w:pPr>
              <w:pStyle w:val="Tabletext"/>
              <w:rPr>
                <w:rFonts w:asciiTheme="majorBidi" w:hAnsiTheme="majorBidi" w:cstheme="majorBidi"/>
                <w:bCs/>
                <w:szCs w:val="24"/>
                <w:lang w:val="es-ES"/>
              </w:rPr>
            </w:pPr>
            <w:r>
              <w:rPr>
                <w:rFonts w:asciiTheme="majorBidi" w:hAnsiTheme="majorBidi" w:cstheme="majorBidi"/>
                <w:bCs/>
                <w:szCs w:val="24"/>
                <w:lang w:val="es-ES"/>
              </w:rPr>
              <w:t xml:space="preserve">Aprobación del </w:t>
            </w:r>
            <w:r w:rsidRPr="00A864C4">
              <w:rPr>
                <w:lang w:val="es-ES"/>
              </w:rPr>
              <w:t>Documento</w:t>
            </w:r>
            <w:r w:rsidRPr="00D2027A">
              <w:rPr>
                <w:rFonts w:asciiTheme="majorBidi" w:hAnsiTheme="majorBidi" w:cstheme="majorBidi"/>
                <w:bCs/>
                <w:szCs w:val="24"/>
                <w:lang w:val="es-ES"/>
              </w:rPr>
              <w:t xml:space="preserve"> </w:t>
            </w:r>
            <w:hyperlink r:id="rId209" w:history="1">
              <w:r w:rsidRPr="00D2027A">
                <w:rPr>
                  <w:rStyle w:val="Hyperlink"/>
                  <w:rFonts w:asciiTheme="majorBidi" w:hAnsiTheme="majorBidi" w:cstheme="majorBidi"/>
                  <w:bCs/>
                  <w:szCs w:val="24"/>
                  <w:lang w:val="es-ES"/>
                </w:rPr>
                <w:t>CMR19/201</w:t>
              </w:r>
            </w:hyperlink>
          </w:p>
        </w:tc>
        <w:tc>
          <w:tcPr>
            <w:tcW w:w="2312" w:type="pct"/>
          </w:tcPr>
          <w:p w14:paraId="046798FE" w14:textId="77777777" w:rsidR="00967792" w:rsidRPr="00A864C4" w:rsidRDefault="00967792" w:rsidP="00B53355">
            <w:pPr>
              <w:spacing w:before="40" w:after="40"/>
              <w:rPr>
                <w:sz w:val="22"/>
                <w:lang w:val="es-ES"/>
              </w:rPr>
            </w:pPr>
            <w:bookmarkStart w:id="62" w:name="_Hlk23757725"/>
            <w:r w:rsidRPr="00A864C4">
              <w:rPr>
                <w:sz w:val="22"/>
                <w:lang w:val="es-ES"/>
              </w:rPr>
              <w:t>2.1</w:t>
            </w:r>
            <w:r w:rsidRPr="00A864C4">
              <w:rPr>
                <w:sz w:val="22"/>
                <w:lang w:val="es-ES"/>
              </w:rPr>
              <w:tab/>
              <w:t xml:space="preserve">El </w:t>
            </w:r>
            <w:r w:rsidRPr="00A864C4">
              <w:rPr>
                <w:b/>
                <w:bCs/>
                <w:sz w:val="22"/>
                <w:lang w:val="es-ES"/>
              </w:rPr>
              <w:t>Presidente de la Comisión 4</w:t>
            </w:r>
            <w:r w:rsidRPr="00A864C4">
              <w:rPr>
                <w:sz w:val="22"/>
                <w:lang w:val="es-ES"/>
              </w:rPr>
              <w:t xml:space="preserve"> presenta el Documento 201 y observa que la Comisión ha examinado el § 3.4.1 del Addéndum 2 al Informe del Director a la CMR-19 (Documento 4) («Uso propuesto de datos del terreno para examinar las notificaciones terrenales, determinar los requisitos de coordinación y calcular la compatibilidad de estaciones terrenales»). La Comisión propone aprobar el siguiente texto, que figura en el Anexo al Documento 201, e incluirlo en las actas de la reunión en calidad de decisión de la Conferencia:</w:t>
            </w:r>
            <w:bookmarkEnd w:id="62"/>
          </w:p>
          <w:p w14:paraId="1564F3E2" w14:textId="77777777" w:rsidR="00967792" w:rsidRPr="00A864C4" w:rsidRDefault="00967792" w:rsidP="00B53355">
            <w:pPr>
              <w:spacing w:before="40" w:after="40"/>
              <w:rPr>
                <w:sz w:val="22"/>
                <w:lang w:val="es-ES"/>
              </w:rPr>
            </w:pPr>
            <w:r w:rsidRPr="00A864C4">
              <w:rPr>
                <w:sz w:val="22"/>
                <w:lang w:val="es-ES"/>
              </w:rPr>
              <w:t>«Se ha observado en la información que figura en § 3.4.1 del Addéndum 2 al Informe del Director (Doc. CMR19/4) a la CMR-19, que todos los exámenes de asignaciones de frecuencias a servicios terrenales y la identificación de las administraciones potencialmente afectadas que actualmente efectúa la Oficina en aplicación de los diversos procedimientos que se recogen en el RR y los Acuerdos Regionales se llevan a cabo utilizando modelos de predicción de la propagación sin perfiles de altura del terreno.</w:t>
            </w:r>
          </w:p>
          <w:p w14:paraId="5CECF400" w14:textId="77777777" w:rsidR="00967792" w:rsidRPr="00A864C4" w:rsidRDefault="00967792" w:rsidP="00B53355">
            <w:pPr>
              <w:spacing w:before="40" w:after="40"/>
              <w:rPr>
                <w:sz w:val="22"/>
                <w:lang w:val="es-ES"/>
              </w:rPr>
            </w:pPr>
            <w:r w:rsidRPr="00A864C4">
              <w:rPr>
                <w:sz w:val="22"/>
                <w:lang w:val="es-ES"/>
              </w:rPr>
              <w:t>Es bien sabido que la utilización del dato de la altura del terreno para la identificación de las administraciones potencialmente afectadas podría beneficiarles y que este planteamiento acortaría la lista de requisitos de coordinación y reduciría la carga de coordinación tanto para las administraciones como para la Oficina.</w:t>
            </w:r>
          </w:p>
          <w:p w14:paraId="0959881C" w14:textId="77777777" w:rsidR="00967792" w:rsidRPr="00A864C4" w:rsidRDefault="00967792" w:rsidP="00B53355">
            <w:pPr>
              <w:spacing w:before="40" w:after="40"/>
              <w:rPr>
                <w:sz w:val="22"/>
                <w:lang w:val="es-ES"/>
              </w:rPr>
            </w:pPr>
            <w:r w:rsidRPr="00A864C4">
              <w:rPr>
                <w:sz w:val="22"/>
                <w:lang w:val="es-ES"/>
              </w:rPr>
              <w:lastRenderedPageBreak/>
              <w:t>En virtud de lo anterior, se propone encargar a la Oficina que simule el examen de las notificaciones del número </w:t>
            </w:r>
            <w:r w:rsidRPr="00A864C4">
              <w:rPr>
                <w:b/>
                <w:bCs/>
                <w:sz w:val="22"/>
                <w:lang w:val="es-ES"/>
              </w:rPr>
              <w:t>9.21</w:t>
            </w:r>
            <w:r w:rsidRPr="00A864C4">
              <w:rPr>
                <w:sz w:val="22"/>
                <w:lang w:val="es-ES"/>
              </w:rPr>
              <w:t xml:space="preserve"> del RR en las bandas no planificadas utilizando modelos de elevación digital (DEM) y notifique los resultados a la Junta del Reglamento de Radiocomunicaciones. La Junta podría decidir posteriormente, mediante las Reglas de Procedimiento pertinentes, que la Oficina utilice el dato de altura del terreno en los exámenes en virtud del número </w:t>
            </w:r>
            <w:r w:rsidRPr="00A864C4">
              <w:rPr>
                <w:b/>
                <w:bCs/>
                <w:sz w:val="22"/>
                <w:lang w:val="es-ES"/>
              </w:rPr>
              <w:t>9.21</w:t>
            </w:r>
            <w:r w:rsidRPr="00A864C4">
              <w:rPr>
                <w:sz w:val="22"/>
                <w:lang w:val="es-ES"/>
              </w:rPr>
              <w:t xml:space="preserve"> del RR y comunicar los resultados a la próxima CMR.</w:t>
            </w:r>
          </w:p>
          <w:p w14:paraId="4AC7410F" w14:textId="77777777" w:rsidR="00967792" w:rsidRPr="00A864C4" w:rsidRDefault="00967792" w:rsidP="00B53355">
            <w:pPr>
              <w:spacing w:before="40" w:after="40"/>
              <w:rPr>
                <w:sz w:val="22"/>
                <w:lang w:val="es-ES"/>
              </w:rPr>
            </w:pPr>
            <w:r w:rsidRPr="00A864C4">
              <w:rPr>
                <w:sz w:val="22"/>
                <w:lang w:val="es-ES"/>
              </w:rPr>
              <w:t>Teniendo presente que los datos de la Misión Topográfica del Radar del Transbordador Espacial (</w:t>
            </w:r>
            <w:r w:rsidRPr="00A864C4">
              <w:rPr>
                <w:i/>
                <w:iCs/>
                <w:sz w:val="22"/>
                <w:lang w:val="es-ES"/>
              </w:rPr>
              <w:t>Shuttle Radar Topography Mission</w:t>
            </w:r>
            <w:r w:rsidRPr="00A864C4">
              <w:rPr>
                <w:sz w:val="22"/>
                <w:lang w:val="es-ES"/>
              </w:rPr>
              <w:t>), cuya resolución es de 1 segundo de arco en longitud y latitud (SRTM1), no se extiende más al norte de los 60 grados Norte ni al sur de los 56 grados Sur, podría encargarse además a la Oficina que continuase examinado las estaciones terrenales situadas fuera de esta extensión geográfica sin utilizar la información de la altura del terreno y que sondease la posibilidad de utilizar modelos alternativos de elevación digital con una extensión geográfica más amplia.»</w:t>
            </w:r>
          </w:p>
          <w:p w14:paraId="5917C0B4" w14:textId="77777777" w:rsidR="00967792" w:rsidRPr="00A864C4" w:rsidRDefault="00967792" w:rsidP="00B53355">
            <w:pPr>
              <w:spacing w:before="40" w:after="40"/>
              <w:rPr>
                <w:sz w:val="22"/>
                <w:lang w:val="es-ES"/>
              </w:rPr>
            </w:pPr>
            <w:r w:rsidRPr="00A864C4">
              <w:rPr>
                <w:sz w:val="22"/>
                <w:lang w:val="es-ES"/>
              </w:rPr>
              <w:t>2.2</w:t>
            </w:r>
            <w:r w:rsidRPr="00A864C4">
              <w:rPr>
                <w:sz w:val="22"/>
                <w:lang w:val="es-ES"/>
              </w:rPr>
              <w:tab/>
              <w:t xml:space="preserve">Así </w:t>
            </w:r>
            <w:r w:rsidRPr="00A864C4">
              <w:rPr>
                <w:b/>
                <w:bCs/>
                <w:sz w:val="22"/>
                <w:lang w:val="es-ES"/>
              </w:rPr>
              <w:t>se acuerda</w:t>
            </w:r>
            <w:r w:rsidRPr="00A864C4">
              <w:rPr>
                <w:sz w:val="22"/>
                <w:lang w:val="es-ES"/>
              </w:rPr>
              <w:t>.</w:t>
            </w:r>
          </w:p>
          <w:p w14:paraId="235AD014" w14:textId="4ECCF125" w:rsidR="00967792" w:rsidRPr="00A864C4" w:rsidRDefault="00967792" w:rsidP="00B53355">
            <w:pPr>
              <w:spacing w:before="40" w:after="40"/>
              <w:rPr>
                <w:sz w:val="22"/>
                <w:lang w:val="es-ES"/>
              </w:rPr>
            </w:pPr>
            <w:r w:rsidRPr="00A864C4">
              <w:rPr>
                <w:sz w:val="22"/>
                <w:lang w:val="es-ES"/>
              </w:rPr>
              <w:t>2.3</w:t>
            </w:r>
            <w:r w:rsidRPr="00A864C4">
              <w:rPr>
                <w:sz w:val="22"/>
                <w:lang w:val="es-ES"/>
              </w:rPr>
              <w:tab/>
              <w:t xml:space="preserve">Se </w:t>
            </w:r>
            <w:r w:rsidRPr="00A864C4">
              <w:rPr>
                <w:b/>
                <w:bCs/>
                <w:sz w:val="22"/>
                <w:lang w:val="es-ES"/>
              </w:rPr>
              <w:t>aprueba</w:t>
            </w:r>
            <w:r w:rsidRPr="00A864C4">
              <w:rPr>
                <w:sz w:val="22"/>
                <w:lang w:val="es-ES"/>
              </w:rPr>
              <w:t xml:space="preserve"> el Documento 201.</w:t>
            </w:r>
          </w:p>
        </w:tc>
        <w:tc>
          <w:tcPr>
            <w:tcW w:w="1548" w:type="pct"/>
          </w:tcPr>
          <w:p w14:paraId="45597FD6" w14:textId="08BC8631" w:rsidR="00967792" w:rsidRPr="00266695" w:rsidDel="009440F5" w:rsidRDefault="00967792" w:rsidP="00B53355">
            <w:pPr>
              <w:pStyle w:val="Tabletext"/>
              <w:rPr>
                <w:lang w:val="es-ES"/>
              </w:rPr>
            </w:pPr>
            <w:r w:rsidRPr="00266695">
              <w:rPr>
                <w:lang w:val="es-ES"/>
              </w:rPr>
              <w:lastRenderedPageBreak/>
              <w:t>–</w:t>
            </w:r>
          </w:p>
        </w:tc>
      </w:tr>
      <w:tr w:rsidR="00967792" w:rsidRPr="00D2027A" w14:paraId="48D721E9" w14:textId="77777777" w:rsidTr="00924C8B">
        <w:trPr>
          <w:jc w:val="center"/>
        </w:trPr>
        <w:tc>
          <w:tcPr>
            <w:tcW w:w="183" w:type="pct"/>
          </w:tcPr>
          <w:p w14:paraId="32A5E33C" w14:textId="4AA102A5" w:rsidR="00967792" w:rsidRPr="00F93165" w:rsidRDefault="00967792" w:rsidP="00B53355">
            <w:pPr>
              <w:pStyle w:val="Tabletext"/>
              <w:rPr>
                <w:lang w:val="es-ES"/>
              </w:rPr>
            </w:pPr>
            <w:r w:rsidRPr="00F93165">
              <w:rPr>
                <w:lang w:val="es-ES"/>
              </w:rPr>
              <w:t>64</w:t>
            </w:r>
          </w:p>
        </w:tc>
        <w:tc>
          <w:tcPr>
            <w:tcW w:w="434" w:type="pct"/>
          </w:tcPr>
          <w:p w14:paraId="210B4439" w14:textId="70F9EE69" w:rsidR="00967792" w:rsidRPr="00A616CA" w:rsidRDefault="00967792" w:rsidP="00B53355">
            <w:pPr>
              <w:pStyle w:val="Tabletext"/>
              <w:rPr>
                <w:lang w:val="es-ES"/>
              </w:rPr>
            </w:pPr>
            <w:r w:rsidRPr="00A616CA">
              <w:rPr>
                <w:lang w:val="es-ES"/>
              </w:rPr>
              <w:t>CMR-15</w:t>
            </w:r>
          </w:p>
        </w:tc>
        <w:tc>
          <w:tcPr>
            <w:tcW w:w="523" w:type="pct"/>
          </w:tcPr>
          <w:p w14:paraId="4FAE8226" w14:textId="1C89F4AE" w:rsidR="00967792" w:rsidRPr="00D2027A" w:rsidRDefault="00967792" w:rsidP="00A864C4">
            <w:pPr>
              <w:pStyle w:val="Tabletext"/>
              <w:rPr>
                <w:rFonts w:asciiTheme="majorBidi" w:hAnsiTheme="majorBidi" w:cstheme="majorBidi"/>
                <w:bCs/>
                <w:szCs w:val="24"/>
                <w:lang w:val="es-ES"/>
              </w:rPr>
            </w:pPr>
            <w:r w:rsidRPr="00D2027A">
              <w:rPr>
                <w:rFonts w:asciiTheme="majorBidi" w:hAnsiTheme="majorBidi" w:cstheme="majorBidi"/>
                <w:bCs/>
                <w:szCs w:val="24"/>
                <w:lang w:val="es-ES"/>
              </w:rPr>
              <w:t>4ª Plenaria</w:t>
            </w:r>
            <w:r w:rsidR="002D0088">
              <w:rPr>
                <w:rFonts w:asciiTheme="majorBidi" w:hAnsiTheme="majorBidi" w:cstheme="majorBidi"/>
                <w:bCs/>
                <w:szCs w:val="24"/>
                <w:lang w:val="es-ES"/>
              </w:rPr>
              <w:br/>
            </w:r>
            <w:r w:rsidRPr="00D2027A">
              <w:rPr>
                <w:rFonts w:asciiTheme="majorBidi" w:hAnsiTheme="majorBidi" w:cstheme="majorBidi"/>
                <w:bCs/>
                <w:szCs w:val="24"/>
                <w:lang w:val="es-ES"/>
              </w:rPr>
              <w:t xml:space="preserve">Doc. </w:t>
            </w:r>
            <w:hyperlink r:id="rId210" w:history="1">
              <w:r w:rsidRPr="00D2027A">
                <w:rPr>
                  <w:rStyle w:val="Hyperlink"/>
                  <w:rFonts w:asciiTheme="majorBidi" w:hAnsiTheme="majorBidi" w:cstheme="majorBidi"/>
                  <w:bCs/>
                  <w:szCs w:val="24"/>
                  <w:lang w:val="es-ES"/>
                </w:rPr>
                <w:t>CMR19/237</w:t>
              </w:r>
            </w:hyperlink>
          </w:p>
          <w:p w14:paraId="484506DD" w14:textId="4F788659" w:rsidR="00967792" w:rsidRPr="00D2027A" w:rsidRDefault="00967792" w:rsidP="00A864C4">
            <w:pPr>
              <w:pStyle w:val="Tabletext"/>
              <w:rPr>
                <w:rFonts w:asciiTheme="majorBidi" w:hAnsiTheme="majorBidi" w:cstheme="majorBidi"/>
                <w:bCs/>
                <w:szCs w:val="24"/>
                <w:lang w:val="es-ES"/>
              </w:rPr>
            </w:pPr>
            <w:r w:rsidRPr="00A864C4">
              <w:rPr>
                <w:lang w:val="es-ES"/>
              </w:rPr>
              <w:t>Aprobación</w:t>
            </w:r>
            <w:r>
              <w:rPr>
                <w:rFonts w:asciiTheme="majorBidi" w:hAnsiTheme="majorBidi" w:cstheme="majorBidi"/>
                <w:bCs/>
                <w:szCs w:val="24"/>
                <w:lang w:val="es-ES"/>
              </w:rPr>
              <w:t xml:space="preserve"> del Documento</w:t>
            </w:r>
            <w:r w:rsidRPr="00D2027A">
              <w:rPr>
                <w:rFonts w:asciiTheme="majorBidi" w:hAnsiTheme="majorBidi" w:cstheme="majorBidi"/>
                <w:bCs/>
                <w:szCs w:val="24"/>
                <w:lang w:val="es-ES"/>
              </w:rPr>
              <w:t xml:space="preserve"> </w:t>
            </w:r>
            <w:hyperlink r:id="rId211" w:history="1">
              <w:r w:rsidRPr="00D2027A">
                <w:rPr>
                  <w:rStyle w:val="Hyperlink"/>
                  <w:rFonts w:asciiTheme="majorBidi" w:hAnsiTheme="majorBidi" w:cstheme="majorBidi"/>
                  <w:bCs/>
                  <w:szCs w:val="24"/>
                  <w:lang w:val="es-ES"/>
                </w:rPr>
                <w:t>CMR19/189</w:t>
              </w:r>
            </w:hyperlink>
          </w:p>
        </w:tc>
        <w:tc>
          <w:tcPr>
            <w:tcW w:w="2312" w:type="pct"/>
          </w:tcPr>
          <w:p w14:paraId="1F97D32E" w14:textId="77777777" w:rsidR="00967792" w:rsidRPr="00A864C4" w:rsidRDefault="00967792" w:rsidP="00B53355">
            <w:pPr>
              <w:spacing w:before="40" w:after="40"/>
              <w:rPr>
                <w:sz w:val="22"/>
                <w:lang w:val="es-ES"/>
              </w:rPr>
            </w:pPr>
            <w:r w:rsidRPr="00A864C4">
              <w:rPr>
                <w:sz w:val="22"/>
                <w:lang w:val="es-ES"/>
              </w:rPr>
              <w:t>5.1</w:t>
            </w:r>
            <w:r w:rsidRPr="00A864C4">
              <w:rPr>
                <w:sz w:val="22"/>
                <w:lang w:val="es-ES"/>
              </w:rPr>
              <w:tab/>
              <w:t xml:space="preserve">El </w:t>
            </w:r>
            <w:r w:rsidRPr="00A864C4">
              <w:rPr>
                <w:b/>
                <w:bCs/>
                <w:sz w:val="22"/>
                <w:lang w:val="es-ES"/>
              </w:rPr>
              <w:t>Presidente de la Comisión de Redacción</w:t>
            </w:r>
            <w:r w:rsidRPr="00A864C4">
              <w:rPr>
                <w:sz w:val="22"/>
                <w:lang w:val="es-ES"/>
              </w:rPr>
              <w:t xml:space="preserve"> presenta el Documento 189.</w:t>
            </w:r>
          </w:p>
          <w:p w14:paraId="1E8D42B6" w14:textId="6AC7477F" w:rsidR="00967792" w:rsidRPr="00A864C4" w:rsidRDefault="00967792" w:rsidP="00B53355">
            <w:pPr>
              <w:spacing w:before="40" w:after="40"/>
              <w:rPr>
                <w:sz w:val="22"/>
                <w:lang w:val="es-ES"/>
              </w:rPr>
            </w:pPr>
            <w:r w:rsidRPr="00A864C4">
              <w:rPr>
                <w:sz w:val="22"/>
                <w:lang w:val="es-ES"/>
              </w:rPr>
              <w:t>5.2</w:t>
            </w:r>
            <w:r w:rsidRPr="00A864C4">
              <w:rPr>
                <w:sz w:val="22"/>
                <w:lang w:val="es-ES"/>
              </w:rPr>
              <w:tab/>
              <w:t xml:space="preserve">El </w:t>
            </w:r>
            <w:r w:rsidRPr="00A864C4">
              <w:rPr>
                <w:b/>
                <w:bCs/>
                <w:sz w:val="22"/>
                <w:lang w:val="es-ES"/>
              </w:rPr>
              <w:t>Presidente</w:t>
            </w:r>
            <w:r w:rsidRPr="00A864C4">
              <w:rPr>
                <w:sz w:val="22"/>
                <w:lang w:val="es-ES"/>
              </w:rPr>
              <w:t xml:space="preserve"> invita a los participantes a examinar el Documento</w:t>
            </w:r>
            <w:r w:rsidR="00D16E85">
              <w:rPr>
                <w:sz w:val="22"/>
                <w:lang w:val="es-ES"/>
              </w:rPr>
              <w:t> </w:t>
            </w:r>
            <w:r w:rsidRPr="00A864C4">
              <w:rPr>
                <w:sz w:val="22"/>
                <w:lang w:val="es-ES"/>
              </w:rPr>
              <w:t>189.</w:t>
            </w:r>
          </w:p>
          <w:p w14:paraId="2C450008" w14:textId="77777777" w:rsidR="00967792" w:rsidRPr="00A864C4" w:rsidRDefault="00967792" w:rsidP="00B53355">
            <w:pPr>
              <w:spacing w:before="40" w:after="40"/>
              <w:rPr>
                <w:b/>
                <w:sz w:val="22"/>
                <w:lang w:val="es-ES"/>
              </w:rPr>
            </w:pPr>
            <w:r w:rsidRPr="00A864C4">
              <w:rPr>
                <w:b/>
                <w:sz w:val="22"/>
                <w:lang w:val="es-ES"/>
              </w:rPr>
              <w:t>Artículo 9 (MOD 9.36, MOD 9.36.1, MOD 9.52C y MOD 9.53A)</w:t>
            </w:r>
          </w:p>
          <w:p w14:paraId="6E1F0A6C" w14:textId="77777777" w:rsidR="00967792" w:rsidRPr="00D16E85" w:rsidRDefault="00967792" w:rsidP="00B53355">
            <w:pPr>
              <w:spacing w:before="40" w:after="40"/>
              <w:rPr>
                <w:sz w:val="22"/>
                <w:lang w:val="es-ES"/>
              </w:rPr>
            </w:pPr>
            <w:r w:rsidRPr="00A864C4">
              <w:rPr>
                <w:sz w:val="22"/>
                <w:lang w:val="es-ES"/>
              </w:rPr>
              <w:t>5.3</w:t>
            </w:r>
            <w:r w:rsidRPr="00A864C4">
              <w:rPr>
                <w:sz w:val="22"/>
                <w:lang w:val="es-ES"/>
              </w:rPr>
              <w:tab/>
            </w:r>
            <w:r w:rsidRPr="00A864C4">
              <w:rPr>
                <w:bCs/>
                <w:sz w:val="22"/>
                <w:lang w:val="es-ES"/>
              </w:rPr>
              <w:t xml:space="preserve">Se </w:t>
            </w:r>
            <w:r w:rsidRPr="00A864C4">
              <w:rPr>
                <w:b/>
                <w:bCs/>
                <w:sz w:val="22"/>
                <w:lang w:val="es-ES"/>
              </w:rPr>
              <w:t>aprueba</w:t>
            </w:r>
            <w:r w:rsidRPr="00D16E85">
              <w:rPr>
                <w:sz w:val="22"/>
                <w:lang w:val="es-ES"/>
              </w:rPr>
              <w:t>.</w:t>
            </w:r>
          </w:p>
          <w:p w14:paraId="37DFB112" w14:textId="77777777" w:rsidR="00967792" w:rsidRPr="00A864C4" w:rsidRDefault="00967792" w:rsidP="00B53355">
            <w:pPr>
              <w:spacing w:before="40" w:after="40"/>
              <w:rPr>
                <w:sz w:val="22"/>
                <w:lang w:val="es-ES"/>
              </w:rPr>
            </w:pPr>
            <w:r w:rsidRPr="00A864C4">
              <w:rPr>
                <w:sz w:val="22"/>
                <w:lang w:val="es-ES"/>
              </w:rPr>
              <w:t>5.4</w:t>
            </w:r>
            <w:r w:rsidRPr="00A864C4">
              <w:rPr>
                <w:sz w:val="22"/>
                <w:lang w:val="es-ES"/>
              </w:rPr>
              <w:tab/>
              <w:t xml:space="preserve">El </w:t>
            </w:r>
            <w:r w:rsidRPr="00A864C4">
              <w:rPr>
                <w:b/>
                <w:bCs/>
                <w:sz w:val="22"/>
                <w:lang w:val="es-ES"/>
              </w:rPr>
              <w:t>delegado de la República Islámica del Irán</w:t>
            </w:r>
            <w:r w:rsidRPr="00A864C4">
              <w:rPr>
                <w:sz w:val="22"/>
                <w:lang w:val="es-ES"/>
              </w:rPr>
              <w:t xml:space="preserve"> observa que los plazos son una cuestión importante y delicada para los países en desarrollo, que a menudo carecen de los recursos necesarios para responder en cuatro meses. Dado que la falta de respuesta se interpreta como un acuerdo tácito, las administraciones que no cumplen el plazo previsto pierden asimismo la oportunidad de reclamar protección, lo que repercute directamente en sus derechos. Como medida cautelar, </w:t>
            </w:r>
            <w:r w:rsidRPr="00A864C4">
              <w:rPr>
                <w:sz w:val="22"/>
                <w:lang w:val="es-ES"/>
              </w:rPr>
              <w:lastRenderedPageBreak/>
              <w:t>sería prudente incluir el siguiente texto en las actas de la reunión en calidad de encargo a la Oficina:</w:t>
            </w:r>
          </w:p>
          <w:p w14:paraId="1B98BF4E" w14:textId="77777777" w:rsidR="00967792" w:rsidRPr="00A864C4" w:rsidRDefault="00967792" w:rsidP="00B53355">
            <w:pPr>
              <w:spacing w:before="40" w:after="40"/>
              <w:rPr>
                <w:sz w:val="22"/>
                <w:lang w:val="es-ES"/>
              </w:rPr>
            </w:pPr>
            <w:r w:rsidRPr="00A864C4">
              <w:rPr>
                <w:sz w:val="22"/>
                <w:lang w:val="es-ES"/>
              </w:rPr>
              <w:t>«Antes de que expire el plazo mencionado en el presente documento, la Oficina de Radiocomunicaciones enviará un mensaje a las administraciones interesadas señalando a su atención la necesidad de responder dentro del plazo previsto en el documento.»</w:t>
            </w:r>
          </w:p>
          <w:p w14:paraId="4DEFDCEA" w14:textId="77777777" w:rsidR="00967792" w:rsidRPr="00A864C4" w:rsidRDefault="00967792" w:rsidP="00B53355">
            <w:pPr>
              <w:spacing w:before="40" w:after="40"/>
              <w:rPr>
                <w:sz w:val="22"/>
                <w:lang w:val="es-ES"/>
              </w:rPr>
            </w:pPr>
            <w:r w:rsidRPr="00A864C4">
              <w:rPr>
                <w:sz w:val="22"/>
                <w:lang w:val="es-ES"/>
              </w:rPr>
              <w:t xml:space="preserve">El orador recomienda además que se envíen copias del mensaje a las administraciones y a las misiones diplomáticas en Ginebra, con miras a la adopción de las medidas oportunas. En respuesta a una observación del </w:t>
            </w:r>
            <w:r w:rsidRPr="00A864C4">
              <w:rPr>
                <w:b/>
                <w:bCs/>
                <w:sz w:val="22"/>
                <w:lang w:val="es-ES"/>
              </w:rPr>
              <w:t>Presidente de la Comisión 5</w:t>
            </w:r>
            <w:r w:rsidRPr="00A864C4">
              <w:rPr>
                <w:sz w:val="22"/>
                <w:lang w:val="es-ES"/>
              </w:rPr>
              <w:t>, afirma que el requisito de enviar tales recordatorios ya figura en los Apéndices 30, 30A y 30B del Reglamento de Radiocomunicaciones en términos similares.</w:t>
            </w:r>
          </w:p>
          <w:p w14:paraId="05FAE516" w14:textId="77777777" w:rsidR="00967792" w:rsidRPr="00A864C4" w:rsidRDefault="00967792" w:rsidP="00B53355">
            <w:pPr>
              <w:spacing w:before="40" w:after="40"/>
              <w:rPr>
                <w:sz w:val="22"/>
                <w:lang w:val="es-ES"/>
              </w:rPr>
            </w:pPr>
            <w:r w:rsidRPr="00A864C4">
              <w:rPr>
                <w:sz w:val="22"/>
                <w:lang w:val="es-ES"/>
              </w:rPr>
              <w:t>5.5</w:t>
            </w:r>
            <w:r w:rsidRPr="00A864C4">
              <w:rPr>
                <w:sz w:val="22"/>
                <w:lang w:val="es-ES"/>
              </w:rPr>
              <w:tab/>
              <w:t xml:space="preserve">Los </w:t>
            </w:r>
            <w:r w:rsidRPr="00A864C4">
              <w:rPr>
                <w:b/>
                <w:bCs/>
                <w:sz w:val="22"/>
                <w:lang w:val="es-ES"/>
              </w:rPr>
              <w:t>delegados de la República Sudafricana</w:t>
            </w:r>
            <w:r w:rsidRPr="00A864C4">
              <w:rPr>
                <w:sz w:val="22"/>
                <w:lang w:val="es-ES"/>
              </w:rPr>
              <w:t xml:space="preserve"> y </w:t>
            </w:r>
            <w:r w:rsidRPr="00A864C4">
              <w:rPr>
                <w:b/>
                <w:bCs/>
                <w:sz w:val="22"/>
                <w:lang w:val="es-ES"/>
              </w:rPr>
              <w:t>Nepal</w:t>
            </w:r>
            <w:r w:rsidRPr="00A864C4">
              <w:rPr>
                <w:sz w:val="22"/>
                <w:lang w:val="es-ES"/>
              </w:rPr>
              <w:t xml:space="preserve"> apoyan la propuesta.</w:t>
            </w:r>
          </w:p>
          <w:p w14:paraId="05333BF0" w14:textId="77777777" w:rsidR="00967792" w:rsidRPr="00A864C4" w:rsidRDefault="00967792" w:rsidP="00B53355">
            <w:pPr>
              <w:spacing w:before="40" w:after="40"/>
              <w:rPr>
                <w:sz w:val="22"/>
                <w:lang w:val="es-ES"/>
              </w:rPr>
            </w:pPr>
            <w:r w:rsidRPr="00A864C4">
              <w:rPr>
                <w:sz w:val="22"/>
                <w:lang w:val="es-ES"/>
              </w:rPr>
              <w:t>5.6</w:t>
            </w:r>
            <w:r w:rsidRPr="00A864C4">
              <w:rPr>
                <w:sz w:val="22"/>
                <w:lang w:val="es-ES"/>
              </w:rPr>
              <w:tab/>
              <w:t xml:space="preserve">El </w:t>
            </w:r>
            <w:r w:rsidRPr="00A864C4">
              <w:rPr>
                <w:b/>
                <w:bCs/>
                <w:sz w:val="22"/>
                <w:lang w:val="es-ES"/>
              </w:rPr>
              <w:t>Presidente</w:t>
            </w:r>
            <w:r w:rsidRPr="00A864C4">
              <w:rPr>
                <w:sz w:val="22"/>
                <w:lang w:val="es-ES"/>
              </w:rPr>
              <w:t xml:space="preserve"> observa que no existen objeciones al texto propuesto, que por tanto se incluirá en las actas de la reunión en calidad de encargo a la Oficina.</w:t>
            </w:r>
          </w:p>
          <w:p w14:paraId="198F097B" w14:textId="77777777" w:rsidR="00967792" w:rsidRPr="00A864C4" w:rsidRDefault="00967792" w:rsidP="00B53355">
            <w:pPr>
              <w:spacing w:before="40" w:after="40"/>
              <w:rPr>
                <w:sz w:val="22"/>
                <w:lang w:val="es-ES"/>
              </w:rPr>
            </w:pPr>
            <w:r w:rsidRPr="00A864C4">
              <w:rPr>
                <w:sz w:val="22"/>
                <w:lang w:val="es-ES"/>
              </w:rPr>
              <w:t>5.7</w:t>
            </w:r>
            <w:r w:rsidRPr="00A864C4">
              <w:rPr>
                <w:sz w:val="22"/>
                <w:lang w:val="es-ES"/>
              </w:rPr>
              <w:tab/>
              <w:t xml:space="preserve">Así se </w:t>
            </w:r>
            <w:r w:rsidRPr="00A864C4">
              <w:rPr>
                <w:b/>
                <w:bCs/>
                <w:sz w:val="22"/>
                <w:lang w:val="es-ES"/>
              </w:rPr>
              <w:t>acuerda</w:t>
            </w:r>
            <w:r w:rsidRPr="00A864C4">
              <w:rPr>
                <w:sz w:val="22"/>
                <w:lang w:val="es-ES"/>
              </w:rPr>
              <w:t>.</w:t>
            </w:r>
          </w:p>
          <w:p w14:paraId="1B25230E" w14:textId="39567C8B" w:rsidR="00967792" w:rsidRPr="00A864C4" w:rsidRDefault="00967792" w:rsidP="00B53355">
            <w:pPr>
              <w:spacing w:before="40" w:after="40"/>
              <w:rPr>
                <w:sz w:val="22"/>
                <w:lang w:val="es-ES"/>
              </w:rPr>
            </w:pPr>
            <w:r w:rsidRPr="00A864C4">
              <w:rPr>
                <w:sz w:val="22"/>
                <w:lang w:val="es-ES"/>
              </w:rPr>
              <w:t>5.8</w:t>
            </w:r>
            <w:r w:rsidRPr="00A864C4">
              <w:rPr>
                <w:sz w:val="22"/>
                <w:lang w:val="es-ES"/>
              </w:rPr>
              <w:tab/>
              <w:t xml:space="preserve">Se </w:t>
            </w:r>
            <w:r w:rsidRPr="00A864C4">
              <w:rPr>
                <w:b/>
                <w:bCs/>
                <w:sz w:val="22"/>
                <w:lang w:val="es-ES"/>
              </w:rPr>
              <w:t>aprueba</w:t>
            </w:r>
            <w:r w:rsidRPr="00A864C4">
              <w:rPr>
                <w:sz w:val="22"/>
                <w:lang w:val="es-ES"/>
              </w:rPr>
              <w:t xml:space="preserve"> en primera lectura la segunda serie de textos sometidos por la Comisión de Redacción (B2) (Documento 189).</w:t>
            </w:r>
          </w:p>
        </w:tc>
        <w:tc>
          <w:tcPr>
            <w:tcW w:w="1548" w:type="pct"/>
          </w:tcPr>
          <w:p w14:paraId="7BBE267A" w14:textId="0A7A8502" w:rsidR="00967792" w:rsidRPr="00D2027A" w:rsidDel="009440F5" w:rsidRDefault="00967792" w:rsidP="00B53355">
            <w:pPr>
              <w:pStyle w:val="Tabletext"/>
              <w:rPr>
                <w:rFonts w:asciiTheme="majorBidi" w:hAnsiTheme="majorBidi" w:cstheme="majorBidi"/>
                <w:szCs w:val="24"/>
                <w:lang w:val="es-ES"/>
              </w:rPr>
            </w:pPr>
            <w:r w:rsidRPr="00D2027A">
              <w:rPr>
                <w:rFonts w:asciiTheme="majorBidi" w:hAnsiTheme="majorBidi" w:cstheme="majorBidi"/>
                <w:bCs/>
                <w:lang w:val="es-ES"/>
              </w:rPr>
              <w:lastRenderedPageBreak/>
              <w:t xml:space="preserve">La Junta decide incluir la decisión como </w:t>
            </w:r>
            <w:r w:rsidRPr="00266695">
              <w:rPr>
                <w:lang w:val="es-ES"/>
              </w:rPr>
              <w:t>nota</w:t>
            </w:r>
            <w:r w:rsidRPr="00D2027A">
              <w:rPr>
                <w:rFonts w:asciiTheme="majorBidi" w:hAnsiTheme="majorBidi" w:cstheme="majorBidi"/>
                <w:bCs/>
                <w:lang w:val="es-ES"/>
              </w:rPr>
              <w:t xml:space="preserve"> en la Regla de Procedimiento correspondiente al núm</w:t>
            </w:r>
            <w:r w:rsidR="00A864C4">
              <w:rPr>
                <w:rFonts w:asciiTheme="majorBidi" w:hAnsiTheme="majorBidi" w:cstheme="majorBidi"/>
                <w:bCs/>
                <w:lang w:val="es-ES"/>
              </w:rPr>
              <w:t>ero</w:t>
            </w:r>
            <w:r w:rsidRPr="00D2027A">
              <w:rPr>
                <w:rFonts w:asciiTheme="majorBidi" w:hAnsiTheme="majorBidi" w:cstheme="majorBidi"/>
                <w:bCs/>
                <w:lang w:val="es-ES"/>
              </w:rPr>
              <w:t xml:space="preserve"> </w:t>
            </w:r>
            <w:r w:rsidRPr="00484A2E">
              <w:rPr>
                <w:rFonts w:asciiTheme="majorBidi" w:hAnsiTheme="majorBidi" w:cstheme="majorBidi"/>
                <w:b/>
                <w:lang w:val="es-ES"/>
              </w:rPr>
              <w:t>9.52C</w:t>
            </w:r>
            <w:r w:rsidRPr="00D2027A">
              <w:rPr>
                <w:rFonts w:asciiTheme="majorBidi" w:hAnsiTheme="majorBidi" w:cstheme="majorBidi"/>
                <w:bCs/>
                <w:lang w:val="es-ES"/>
              </w:rPr>
              <w:t xml:space="preserve"> del RR en su </w:t>
            </w:r>
            <w:r>
              <w:rPr>
                <w:rFonts w:asciiTheme="majorBidi" w:hAnsiTheme="majorBidi" w:cstheme="majorBidi"/>
                <w:bCs/>
                <w:lang w:val="es-ES"/>
              </w:rPr>
              <w:t>85</w:t>
            </w:r>
            <w:r w:rsidRPr="00D2027A">
              <w:rPr>
                <w:rFonts w:asciiTheme="majorBidi" w:hAnsiTheme="majorBidi" w:cstheme="majorBidi"/>
                <w:bCs/>
                <w:lang w:val="es-ES"/>
              </w:rPr>
              <w:t>ª reunión (</w:t>
            </w:r>
            <w:hyperlink r:id="rId212" w:history="1">
              <w:r w:rsidRPr="00D2027A">
                <w:rPr>
                  <w:rStyle w:val="Hyperlink"/>
                  <w:rFonts w:asciiTheme="majorBidi" w:hAnsiTheme="majorBidi" w:cstheme="majorBidi"/>
                  <w:bCs/>
                  <w:lang w:val="es-ES"/>
                </w:rPr>
                <w:t>CR/471</w:t>
              </w:r>
            </w:hyperlink>
            <w:r w:rsidRPr="00D2027A">
              <w:rPr>
                <w:rFonts w:asciiTheme="majorBidi" w:hAnsiTheme="majorBidi" w:cstheme="majorBidi"/>
                <w:bCs/>
                <w:lang w:val="es-ES"/>
              </w:rPr>
              <w:t>).</w:t>
            </w:r>
          </w:p>
        </w:tc>
      </w:tr>
      <w:tr w:rsidR="00967792" w:rsidRPr="00D2027A" w14:paraId="72B0D457" w14:textId="77777777" w:rsidTr="00924C8B">
        <w:trPr>
          <w:jc w:val="center"/>
        </w:trPr>
        <w:tc>
          <w:tcPr>
            <w:tcW w:w="183" w:type="pct"/>
          </w:tcPr>
          <w:p w14:paraId="0CA1497B" w14:textId="55D3C8BC" w:rsidR="00967792" w:rsidRPr="00F93165" w:rsidRDefault="00967792" w:rsidP="00B53355">
            <w:pPr>
              <w:pStyle w:val="Tabletext"/>
              <w:rPr>
                <w:lang w:val="es-ES"/>
              </w:rPr>
            </w:pPr>
            <w:r w:rsidRPr="00F93165">
              <w:rPr>
                <w:lang w:val="es-ES"/>
              </w:rPr>
              <w:t>65</w:t>
            </w:r>
          </w:p>
        </w:tc>
        <w:tc>
          <w:tcPr>
            <w:tcW w:w="434" w:type="pct"/>
          </w:tcPr>
          <w:p w14:paraId="228CB612" w14:textId="59E29F9D" w:rsidR="00967792" w:rsidRPr="00A616CA" w:rsidRDefault="00967792" w:rsidP="00B53355">
            <w:pPr>
              <w:pStyle w:val="Tabletext"/>
              <w:rPr>
                <w:lang w:val="es-ES"/>
              </w:rPr>
            </w:pPr>
            <w:r w:rsidRPr="00A616CA">
              <w:rPr>
                <w:lang w:val="es-ES"/>
              </w:rPr>
              <w:t>CMR-15</w:t>
            </w:r>
          </w:p>
        </w:tc>
        <w:tc>
          <w:tcPr>
            <w:tcW w:w="523" w:type="pct"/>
          </w:tcPr>
          <w:p w14:paraId="2E4BD27E" w14:textId="09127CB9" w:rsidR="00967792" w:rsidRPr="00D2027A" w:rsidRDefault="00967792" w:rsidP="00A864C4">
            <w:pPr>
              <w:pStyle w:val="Tabletext"/>
              <w:rPr>
                <w:rFonts w:asciiTheme="majorBidi" w:hAnsiTheme="majorBidi" w:cstheme="majorBidi"/>
                <w:bCs/>
                <w:szCs w:val="24"/>
                <w:lang w:val="es-ES"/>
              </w:rPr>
            </w:pPr>
            <w:r w:rsidRPr="00D2027A">
              <w:rPr>
                <w:rFonts w:asciiTheme="majorBidi" w:hAnsiTheme="majorBidi" w:cstheme="majorBidi"/>
                <w:bCs/>
                <w:szCs w:val="24"/>
                <w:lang w:val="es-ES"/>
              </w:rPr>
              <w:t>6ª</w:t>
            </w:r>
            <w:r w:rsidRPr="00D2027A">
              <w:rPr>
                <w:rFonts w:asciiTheme="majorBidi" w:hAnsiTheme="majorBidi" w:cstheme="majorBidi"/>
                <w:bCs/>
                <w:szCs w:val="24"/>
                <w:vertAlign w:val="superscript"/>
                <w:lang w:val="es-ES"/>
              </w:rPr>
              <w:t xml:space="preserve"> </w:t>
            </w:r>
            <w:r w:rsidRPr="00A864C4">
              <w:rPr>
                <w:lang w:val="es-ES"/>
              </w:rPr>
              <w:t>Plenaria</w:t>
            </w:r>
            <w:r w:rsidR="002D0088">
              <w:rPr>
                <w:rFonts w:asciiTheme="majorBidi" w:hAnsiTheme="majorBidi" w:cstheme="majorBidi"/>
                <w:bCs/>
                <w:szCs w:val="24"/>
                <w:lang w:val="es-ES"/>
              </w:rPr>
              <w:br/>
            </w:r>
            <w:r w:rsidRPr="00D2027A">
              <w:rPr>
                <w:rFonts w:asciiTheme="majorBidi" w:hAnsiTheme="majorBidi" w:cstheme="majorBidi"/>
                <w:bCs/>
                <w:szCs w:val="24"/>
                <w:lang w:val="es-ES"/>
              </w:rPr>
              <w:t xml:space="preserve">Doc. </w:t>
            </w:r>
            <w:hyperlink r:id="rId213" w:history="1">
              <w:r w:rsidRPr="00D2027A">
                <w:rPr>
                  <w:rStyle w:val="Hyperlink"/>
                  <w:rFonts w:asciiTheme="majorBidi" w:hAnsiTheme="majorBidi" w:cstheme="majorBidi"/>
                  <w:bCs/>
                  <w:szCs w:val="24"/>
                  <w:lang w:val="es-ES"/>
                </w:rPr>
                <w:t>CMR19/469</w:t>
              </w:r>
            </w:hyperlink>
          </w:p>
          <w:p w14:paraId="0B31A7D6" w14:textId="065495F9" w:rsidR="00967792" w:rsidRPr="00D2027A" w:rsidRDefault="00967792" w:rsidP="00A864C4">
            <w:pPr>
              <w:pStyle w:val="Tabletext"/>
              <w:rPr>
                <w:rFonts w:asciiTheme="majorBidi" w:hAnsiTheme="majorBidi" w:cstheme="majorBidi"/>
                <w:bCs/>
                <w:szCs w:val="24"/>
                <w:lang w:val="es-ES"/>
              </w:rPr>
            </w:pPr>
            <w:r w:rsidRPr="00A864C4">
              <w:rPr>
                <w:lang w:val="es-ES"/>
              </w:rPr>
              <w:t>Aprobación</w:t>
            </w:r>
            <w:r>
              <w:rPr>
                <w:rFonts w:asciiTheme="majorBidi" w:hAnsiTheme="majorBidi" w:cstheme="majorBidi"/>
                <w:bCs/>
                <w:szCs w:val="24"/>
                <w:lang w:val="es-ES"/>
              </w:rPr>
              <w:t xml:space="preserve"> del Documento</w:t>
            </w:r>
            <w:r w:rsidRPr="00D2027A">
              <w:rPr>
                <w:rFonts w:asciiTheme="majorBidi" w:hAnsiTheme="majorBidi" w:cstheme="majorBidi"/>
                <w:bCs/>
                <w:szCs w:val="24"/>
                <w:lang w:val="es-ES"/>
              </w:rPr>
              <w:t xml:space="preserve"> </w:t>
            </w:r>
            <w:hyperlink r:id="rId214" w:history="1">
              <w:r w:rsidRPr="00D2027A">
                <w:rPr>
                  <w:rStyle w:val="Hyperlink"/>
                  <w:rFonts w:asciiTheme="majorBidi" w:hAnsiTheme="majorBidi" w:cstheme="majorBidi"/>
                  <w:bCs/>
                  <w:szCs w:val="24"/>
                  <w:lang w:val="es-ES"/>
                </w:rPr>
                <w:t>CMR19/228</w:t>
              </w:r>
            </w:hyperlink>
          </w:p>
        </w:tc>
        <w:tc>
          <w:tcPr>
            <w:tcW w:w="2312" w:type="pct"/>
          </w:tcPr>
          <w:p w14:paraId="4158B819" w14:textId="77777777" w:rsidR="00967792" w:rsidRPr="00A864C4" w:rsidRDefault="00967792" w:rsidP="00B53355">
            <w:pPr>
              <w:spacing w:before="40" w:after="40"/>
              <w:rPr>
                <w:b/>
                <w:sz w:val="22"/>
                <w:lang w:val="es-ES"/>
              </w:rPr>
            </w:pPr>
            <w:r w:rsidRPr="00A864C4">
              <w:rPr>
                <w:sz w:val="22"/>
                <w:lang w:val="es-ES"/>
              </w:rPr>
              <w:t>2.4</w:t>
            </w:r>
            <w:r w:rsidRPr="00A864C4">
              <w:rPr>
                <w:sz w:val="22"/>
                <w:lang w:val="es-ES"/>
              </w:rPr>
              <w:tab/>
              <w:t xml:space="preserve">El </w:t>
            </w:r>
            <w:r w:rsidRPr="00A864C4">
              <w:rPr>
                <w:b/>
                <w:bCs/>
                <w:sz w:val="22"/>
                <w:lang w:val="es-ES"/>
              </w:rPr>
              <w:t>Presidente de la Comisión 4</w:t>
            </w:r>
            <w:r w:rsidRPr="00A864C4">
              <w:rPr>
                <w:sz w:val="22"/>
                <w:lang w:val="es-ES"/>
              </w:rPr>
              <w:t xml:space="preserve"> presenta el Documento 228, en el que figura el séptimo informe de la Comisión 4 a la Plenaria sobre las conclusiones de la Comisión en relación con el punto 9.2 del orden del día y la notificación de las estaciones IMT. Se propone que el texto siguiente, que figura en el Documento 228, se apruebe y se incluya en las actas de la Sesión Plenaria como decisión de la Conferencia:</w:t>
            </w:r>
            <w:bookmarkStart w:id="63" w:name="_Hlk24619456"/>
          </w:p>
          <w:bookmarkEnd w:id="63"/>
          <w:p w14:paraId="039B6935" w14:textId="77777777" w:rsidR="00967792" w:rsidRPr="00A864C4" w:rsidRDefault="00967792" w:rsidP="00B53355">
            <w:pPr>
              <w:spacing w:before="40" w:after="40"/>
              <w:rPr>
                <w:sz w:val="22"/>
                <w:lang w:val="es-ES"/>
              </w:rPr>
            </w:pPr>
            <w:r w:rsidRPr="00A864C4">
              <w:rPr>
                <w:sz w:val="22"/>
                <w:lang w:val="es-ES"/>
              </w:rPr>
              <w:t>«La CMR-19 encarga a la Oficina de Radiocomunicaciones que aplique los principios siguientes cuando tramite notificaciones de asignaciones de frecuencias a estaciones «IMT»:</w:t>
            </w:r>
          </w:p>
          <w:p w14:paraId="7C1FCCB9" w14:textId="77777777" w:rsidR="00967792" w:rsidRPr="00A864C4" w:rsidRDefault="00967792" w:rsidP="00B53355">
            <w:pPr>
              <w:spacing w:before="40" w:after="40"/>
              <w:rPr>
                <w:sz w:val="22"/>
                <w:lang w:val="es-ES"/>
              </w:rPr>
            </w:pPr>
            <w:r w:rsidRPr="00A864C4">
              <w:rPr>
                <w:sz w:val="22"/>
                <w:lang w:val="es-ES"/>
              </w:rPr>
              <w:t>a)</w:t>
            </w:r>
            <w:r w:rsidRPr="00A864C4">
              <w:rPr>
                <w:sz w:val="22"/>
                <w:lang w:val="es-ES"/>
              </w:rPr>
              <w:tab/>
              <w:t>Las asignaciones a estaciones base en bandas de frecuencias identificadas para las IMT en el país que presenta la notificación se pueden notificar con la naturaleza del servicio «IM»*.</w:t>
            </w:r>
          </w:p>
          <w:p w14:paraId="6AFDD76E" w14:textId="77777777" w:rsidR="00967792" w:rsidRPr="00A864C4" w:rsidRDefault="00967792" w:rsidP="00B53355">
            <w:pPr>
              <w:spacing w:before="40" w:after="40"/>
              <w:rPr>
                <w:sz w:val="22"/>
                <w:lang w:val="es-ES"/>
              </w:rPr>
            </w:pPr>
            <w:r w:rsidRPr="00A864C4">
              <w:rPr>
                <w:sz w:val="22"/>
                <w:lang w:val="es-ES"/>
              </w:rPr>
              <w:lastRenderedPageBreak/>
              <w:t>b)</w:t>
            </w:r>
            <w:r w:rsidRPr="00A864C4">
              <w:rPr>
                <w:sz w:val="22"/>
                <w:lang w:val="es-ES"/>
              </w:rPr>
              <w:tab/>
              <w:t>Las asignaciones a estaciones base en bandas de frecuencias atribuidas al servicio móvil, que no están identificadas para las IMT en el país que presenta la notificación, se pueden notificar con una naturaleza del servicio distinta de «IM». Si en este caso las asignaciones a estaciones base se notifican con la naturaleza del servicio «IM», la notificación se devolverá a la administración notificante.»</w:t>
            </w:r>
          </w:p>
          <w:p w14:paraId="273E8B7A" w14:textId="77777777" w:rsidR="00967792" w:rsidRPr="00A864C4" w:rsidRDefault="00967792" w:rsidP="00B53355">
            <w:pPr>
              <w:spacing w:before="40" w:after="40"/>
              <w:rPr>
                <w:sz w:val="22"/>
                <w:lang w:val="es-ES"/>
              </w:rPr>
            </w:pPr>
            <w:r w:rsidRPr="00A864C4">
              <w:rPr>
                <w:sz w:val="22"/>
                <w:lang w:val="es-ES"/>
              </w:rPr>
              <w:t>*</w:t>
            </w:r>
            <w:r w:rsidRPr="00A864C4">
              <w:rPr>
                <w:sz w:val="22"/>
                <w:lang w:val="es-ES"/>
              </w:rPr>
              <w:tab/>
              <w:t>El símbolo «IM» designa las estaciones IMT en el servicio móvil como se explica en la Carta Circular CR/391 de 26/02/2016.</w:t>
            </w:r>
          </w:p>
          <w:p w14:paraId="25798C2E" w14:textId="77777777" w:rsidR="00967792" w:rsidRPr="00A864C4" w:rsidRDefault="00967792" w:rsidP="00B53355">
            <w:pPr>
              <w:spacing w:before="40" w:after="40"/>
              <w:rPr>
                <w:sz w:val="22"/>
                <w:lang w:val="es-ES"/>
              </w:rPr>
            </w:pPr>
            <w:r w:rsidRPr="00A864C4">
              <w:rPr>
                <w:sz w:val="22"/>
                <w:lang w:val="es-ES"/>
              </w:rPr>
              <w:t>2.5</w:t>
            </w:r>
            <w:r w:rsidRPr="00A864C4">
              <w:rPr>
                <w:sz w:val="22"/>
                <w:lang w:val="es-ES"/>
              </w:rPr>
              <w:tab/>
              <w:t xml:space="preserve">El </w:t>
            </w:r>
            <w:r w:rsidRPr="00A864C4">
              <w:rPr>
                <w:b/>
                <w:bCs/>
                <w:sz w:val="22"/>
                <w:lang w:val="es-ES"/>
              </w:rPr>
              <w:t xml:space="preserve">delegado </w:t>
            </w:r>
            <w:bookmarkStart w:id="64" w:name="_Hlk25013386"/>
            <w:r w:rsidRPr="00A864C4">
              <w:rPr>
                <w:b/>
                <w:bCs/>
                <w:sz w:val="22"/>
                <w:lang w:val="es-ES"/>
              </w:rPr>
              <w:t xml:space="preserve">de la República Islámica del Irán </w:t>
            </w:r>
            <w:bookmarkEnd w:id="64"/>
            <w:r w:rsidRPr="00A864C4">
              <w:rPr>
                <w:sz w:val="22"/>
                <w:lang w:val="es-ES"/>
              </w:rPr>
              <w:t>solicita que se aclare el significado y la intención del apartado b) del texto propuesto, que considera poco claro, y pide que se devuelva a la Comisión 4 con el fin de que se redacte de nuevo.</w:t>
            </w:r>
          </w:p>
          <w:p w14:paraId="430397C7" w14:textId="77777777" w:rsidR="00967792" w:rsidRPr="00A864C4" w:rsidRDefault="00967792" w:rsidP="00B53355">
            <w:pPr>
              <w:spacing w:before="40" w:after="40"/>
              <w:rPr>
                <w:sz w:val="22"/>
                <w:lang w:val="es-ES"/>
              </w:rPr>
            </w:pPr>
            <w:r w:rsidRPr="00A864C4">
              <w:rPr>
                <w:sz w:val="22"/>
                <w:lang w:val="es-ES"/>
              </w:rPr>
              <w:t>2.6</w:t>
            </w:r>
            <w:r w:rsidRPr="00A864C4">
              <w:rPr>
                <w:sz w:val="22"/>
                <w:lang w:val="es-ES"/>
              </w:rPr>
              <w:tab/>
              <w:t xml:space="preserve">El </w:t>
            </w:r>
            <w:r w:rsidRPr="00A864C4">
              <w:rPr>
                <w:b/>
                <w:bCs/>
                <w:sz w:val="22"/>
                <w:lang w:val="es-ES"/>
              </w:rPr>
              <w:t xml:space="preserve">delegado de la Federación de Rusia </w:t>
            </w:r>
            <w:r w:rsidRPr="00A864C4">
              <w:rPr>
                <w:sz w:val="22"/>
                <w:lang w:val="es-ES"/>
              </w:rPr>
              <w:t>dice que la redacción del texto es clara. Representa además el delicado compromiso alcanzado tras largos debates. La introducción de cambios en una fase tan tardía daría lugar a una prolongación adicional de los debates.</w:t>
            </w:r>
          </w:p>
          <w:p w14:paraId="7BE289AD" w14:textId="77777777" w:rsidR="00967792" w:rsidRPr="00A864C4" w:rsidRDefault="00967792" w:rsidP="00B53355">
            <w:pPr>
              <w:spacing w:before="40" w:after="40"/>
              <w:rPr>
                <w:sz w:val="22"/>
                <w:lang w:val="es-ES"/>
              </w:rPr>
            </w:pPr>
            <w:r w:rsidRPr="00A864C4">
              <w:rPr>
                <w:sz w:val="22"/>
                <w:lang w:val="es-ES"/>
              </w:rPr>
              <w:t>2.7</w:t>
            </w:r>
            <w:r w:rsidRPr="00A864C4">
              <w:rPr>
                <w:sz w:val="22"/>
                <w:lang w:val="es-ES"/>
              </w:rPr>
              <w:tab/>
              <w:t xml:space="preserve">Los </w:t>
            </w:r>
            <w:r w:rsidRPr="00A864C4">
              <w:rPr>
                <w:b/>
                <w:bCs/>
                <w:sz w:val="22"/>
                <w:lang w:val="es-ES"/>
              </w:rPr>
              <w:t>delegados de Dinamarca, Francia, los Emiratos Árabes Unidos y Nigeria</w:t>
            </w:r>
            <w:r w:rsidRPr="00A864C4">
              <w:rPr>
                <w:sz w:val="22"/>
                <w:lang w:val="es-ES"/>
              </w:rPr>
              <w:t xml:space="preserve"> coinciden con el delegado de la Federación de Rusia; el texto es claro y debe aprobarse.</w:t>
            </w:r>
          </w:p>
          <w:p w14:paraId="3CC8B0A0" w14:textId="77777777" w:rsidR="00967792" w:rsidRPr="00A864C4" w:rsidRDefault="00967792" w:rsidP="00B53355">
            <w:pPr>
              <w:spacing w:before="40" w:after="40"/>
              <w:rPr>
                <w:sz w:val="22"/>
                <w:lang w:val="es-ES"/>
              </w:rPr>
            </w:pPr>
            <w:r w:rsidRPr="00A864C4">
              <w:rPr>
                <w:sz w:val="22"/>
                <w:lang w:val="es-ES"/>
              </w:rPr>
              <w:t>2.8</w:t>
            </w:r>
            <w:r w:rsidRPr="00A864C4">
              <w:rPr>
                <w:sz w:val="22"/>
                <w:lang w:val="es-ES"/>
              </w:rPr>
              <w:tab/>
              <w:t xml:space="preserve">El </w:t>
            </w:r>
            <w:r w:rsidRPr="00A864C4">
              <w:rPr>
                <w:b/>
                <w:bCs/>
                <w:sz w:val="22"/>
                <w:lang w:val="es-ES"/>
              </w:rPr>
              <w:t>delegado de la República de Corea</w:t>
            </w:r>
            <w:r w:rsidRPr="00A864C4">
              <w:rPr>
                <w:sz w:val="22"/>
                <w:lang w:val="es-ES"/>
              </w:rPr>
              <w:t xml:space="preserve"> propone diversas enmiendas para aclarar el significado del texto.</w:t>
            </w:r>
          </w:p>
          <w:p w14:paraId="7A2CD0D9" w14:textId="77777777" w:rsidR="00967792" w:rsidRPr="00A864C4" w:rsidRDefault="00967792" w:rsidP="00B53355">
            <w:pPr>
              <w:spacing w:before="40" w:after="40"/>
              <w:rPr>
                <w:sz w:val="22"/>
                <w:lang w:val="es-ES"/>
              </w:rPr>
            </w:pPr>
            <w:r w:rsidRPr="00A864C4">
              <w:rPr>
                <w:sz w:val="22"/>
                <w:lang w:val="es-ES"/>
              </w:rPr>
              <w:t>2.9</w:t>
            </w:r>
            <w:r w:rsidRPr="00A864C4">
              <w:rPr>
                <w:sz w:val="22"/>
                <w:lang w:val="es-ES"/>
              </w:rPr>
              <w:tab/>
              <w:t xml:space="preserve">El </w:t>
            </w:r>
            <w:r w:rsidRPr="00A864C4">
              <w:rPr>
                <w:b/>
                <w:bCs/>
                <w:sz w:val="22"/>
                <w:lang w:val="es-ES"/>
              </w:rPr>
              <w:t>Director de la BR</w:t>
            </w:r>
            <w:r w:rsidRPr="00A864C4">
              <w:rPr>
                <w:sz w:val="22"/>
                <w:lang w:val="es-ES"/>
              </w:rPr>
              <w:t xml:space="preserve"> ofrece la siguiente aclaración: el texto relativo a la tramitación por la Oficina de Radiocomunicaciones de la notificación de las estaciones «IMT» tiene por objeto permitir a las administraciones notificar asignaciones como «IM» solo cuando se trate de estaciones base en bandas de frecuencias identificadas para las IMT en el país. De lo contrario, las asignaciones sólo podrán notificarse como «distintas de IM».</w:t>
            </w:r>
          </w:p>
          <w:p w14:paraId="24551629" w14:textId="77777777" w:rsidR="00967792" w:rsidRPr="00A864C4" w:rsidRDefault="00967792" w:rsidP="00B53355">
            <w:pPr>
              <w:spacing w:before="40" w:after="40"/>
              <w:rPr>
                <w:sz w:val="22"/>
                <w:lang w:val="es-ES"/>
              </w:rPr>
            </w:pPr>
            <w:r w:rsidRPr="00A864C4">
              <w:rPr>
                <w:sz w:val="22"/>
                <w:lang w:val="es-ES"/>
              </w:rPr>
              <w:t>2.10</w:t>
            </w:r>
            <w:r w:rsidRPr="00A864C4">
              <w:rPr>
                <w:sz w:val="22"/>
                <w:lang w:val="es-ES"/>
              </w:rPr>
              <w:tab/>
              <w:t xml:space="preserve">El </w:t>
            </w:r>
            <w:r w:rsidRPr="00A864C4">
              <w:rPr>
                <w:b/>
                <w:bCs/>
                <w:sz w:val="22"/>
                <w:lang w:val="es-ES"/>
              </w:rPr>
              <w:t xml:space="preserve">delegado de la República Islámica del Irán </w:t>
            </w:r>
            <w:r w:rsidRPr="00A864C4">
              <w:rPr>
                <w:sz w:val="22"/>
                <w:lang w:val="es-ES"/>
              </w:rPr>
              <w:t>apoya esa aclaración, que deberá incorporarse en la parte b) del texto.</w:t>
            </w:r>
          </w:p>
          <w:p w14:paraId="6F3FEA26" w14:textId="77777777" w:rsidR="00967792" w:rsidRPr="00A864C4" w:rsidRDefault="00967792" w:rsidP="00B53355">
            <w:pPr>
              <w:spacing w:before="40" w:after="40"/>
              <w:rPr>
                <w:sz w:val="22"/>
                <w:lang w:val="es-ES"/>
              </w:rPr>
            </w:pPr>
            <w:r w:rsidRPr="00A864C4">
              <w:rPr>
                <w:sz w:val="22"/>
                <w:lang w:val="es-ES"/>
              </w:rPr>
              <w:t>2.11</w:t>
            </w:r>
            <w:r w:rsidRPr="00A864C4">
              <w:rPr>
                <w:sz w:val="22"/>
                <w:lang w:val="es-ES"/>
              </w:rPr>
              <w:tab/>
              <w:t xml:space="preserve">El </w:t>
            </w:r>
            <w:r w:rsidRPr="00A864C4">
              <w:rPr>
                <w:b/>
                <w:bCs/>
                <w:sz w:val="22"/>
                <w:lang w:val="es-ES"/>
              </w:rPr>
              <w:t>Presidente</w:t>
            </w:r>
            <w:r w:rsidRPr="00A864C4">
              <w:rPr>
                <w:sz w:val="22"/>
                <w:lang w:val="es-ES"/>
              </w:rPr>
              <w:t xml:space="preserve"> propone que se apruebe el texto presentado en el Documento 228 y que se incluya en las actas de la Plenaria como </w:t>
            </w:r>
            <w:r w:rsidRPr="00A864C4">
              <w:rPr>
                <w:sz w:val="22"/>
                <w:lang w:val="es-ES"/>
              </w:rPr>
              <w:lastRenderedPageBreak/>
              <w:t>decisión de la Conferencia, en el entendimiento de que la aclaración proporcionada por el Director de la BR figurará también en el acta de la reunión.</w:t>
            </w:r>
          </w:p>
          <w:p w14:paraId="0206AA0C" w14:textId="77777777" w:rsidR="00967792" w:rsidRPr="00A864C4" w:rsidRDefault="00967792" w:rsidP="00B53355">
            <w:pPr>
              <w:spacing w:before="40" w:after="40"/>
              <w:rPr>
                <w:sz w:val="22"/>
                <w:lang w:val="es-ES"/>
              </w:rPr>
            </w:pPr>
            <w:r w:rsidRPr="00A864C4">
              <w:rPr>
                <w:sz w:val="22"/>
                <w:lang w:val="es-ES"/>
              </w:rPr>
              <w:t>2.12</w:t>
            </w:r>
            <w:r w:rsidRPr="00A864C4">
              <w:rPr>
                <w:sz w:val="22"/>
                <w:lang w:val="es-ES"/>
              </w:rPr>
              <w:tab/>
              <w:t xml:space="preserve">Así se </w:t>
            </w:r>
            <w:r w:rsidRPr="00A864C4">
              <w:rPr>
                <w:b/>
                <w:bCs/>
                <w:sz w:val="22"/>
                <w:lang w:val="es-ES"/>
              </w:rPr>
              <w:t>acuerda</w:t>
            </w:r>
            <w:r w:rsidRPr="00A864C4">
              <w:rPr>
                <w:sz w:val="22"/>
                <w:lang w:val="es-ES"/>
              </w:rPr>
              <w:t>.</w:t>
            </w:r>
          </w:p>
          <w:p w14:paraId="0B006150" w14:textId="1816C37F" w:rsidR="00967792" w:rsidRPr="00A864C4" w:rsidRDefault="00967792" w:rsidP="00B53355">
            <w:pPr>
              <w:spacing w:before="40" w:after="40"/>
              <w:rPr>
                <w:sz w:val="22"/>
                <w:lang w:val="es-ES"/>
              </w:rPr>
            </w:pPr>
            <w:r w:rsidRPr="00A864C4">
              <w:rPr>
                <w:sz w:val="22"/>
                <w:lang w:val="es-ES"/>
              </w:rPr>
              <w:t>2.13</w:t>
            </w:r>
            <w:r w:rsidRPr="00A864C4">
              <w:rPr>
                <w:sz w:val="22"/>
                <w:lang w:val="es-ES"/>
              </w:rPr>
              <w:tab/>
              <w:t xml:space="preserve">Se </w:t>
            </w:r>
            <w:r w:rsidRPr="00A864C4">
              <w:rPr>
                <w:b/>
                <w:bCs/>
                <w:sz w:val="22"/>
                <w:lang w:val="es-ES"/>
              </w:rPr>
              <w:t>aprueba</w:t>
            </w:r>
            <w:r w:rsidRPr="00A864C4">
              <w:rPr>
                <w:sz w:val="22"/>
                <w:lang w:val="es-ES"/>
              </w:rPr>
              <w:t xml:space="preserve"> el Documento 228.</w:t>
            </w:r>
          </w:p>
        </w:tc>
        <w:tc>
          <w:tcPr>
            <w:tcW w:w="1548" w:type="pct"/>
          </w:tcPr>
          <w:p w14:paraId="6511B099" w14:textId="046C0790" w:rsidR="00967792" w:rsidRPr="00266695" w:rsidDel="009440F5" w:rsidRDefault="00967792" w:rsidP="00B53355">
            <w:pPr>
              <w:pStyle w:val="Tabletext"/>
              <w:rPr>
                <w:lang w:val="es-ES"/>
              </w:rPr>
            </w:pPr>
            <w:r w:rsidRPr="00266695">
              <w:rPr>
                <w:lang w:val="es-ES"/>
              </w:rPr>
              <w:lastRenderedPageBreak/>
              <w:t>–</w:t>
            </w:r>
          </w:p>
        </w:tc>
      </w:tr>
      <w:tr w:rsidR="00967792" w:rsidRPr="00D2027A" w14:paraId="7A23AD0E" w14:textId="77777777" w:rsidTr="00924C8B">
        <w:trPr>
          <w:jc w:val="center"/>
        </w:trPr>
        <w:tc>
          <w:tcPr>
            <w:tcW w:w="183" w:type="pct"/>
          </w:tcPr>
          <w:p w14:paraId="7AAC4994" w14:textId="629947CE" w:rsidR="00967792" w:rsidRPr="00F93165" w:rsidRDefault="00967792" w:rsidP="00B53355">
            <w:pPr>
              <w:pStyle w:val="Tabletext"/>
              <w:rPr>
                <w:lang w:val="es-ES"/>
              </w:rPr>
            </w:pPr>
            <w:r w:rsidRPr="00F93165">
              <w:rPr>
                <w:lang w:val="es-ES"/>
              </w:rPr>
              <w:lastRenderedPageBreak/>
              <w:t>66</w:t>
            </w:r>
          </w:p>
        </w:tc>
        <w:tc>
          <w:tcPr>
            <w:tcW w:w="434" w:type="pct"/>
          </w:tcPr>
          <w:p w14:paraId="3E8FBD4F" w14:textId="4F4E380C" w:rsidR="00967792" w:rsidRPr="00A616CA" w:rsidRDefault="00967792" w:rsidP="00B53355">
            <w:pPr>
              <w:pStyle w:val="Tabletext"/>
              <w:rPr>
                <w:lang w:val="es-ES"/>
              </w:rPr>
            </w:pPr>
            <w:r w:rsidRPr="00A616CA">
              <w:rPr>
                <w:lang w:val="es-ES"/>
              </w:rPr>
              <w:t>CMR-19</w:t>
            </w:r>
          </w:p>
        </w:tc>
        <w:tc>
          <w:tcPr>
            <w:tcW w:w="523" w:type="pct"/>
          </w:tcPr>
          <w:p w14:paraId="5AB82F8B" w14:textId="41CB24CC" w:rsidR="00967792" w:rsidRPr="00D2027A" w:rsidRDefault="00967792" w:rsidP="00A864C4">
            <w:pPr>
              <w:pStyle w:val="Tabletext"/>
              <w:rPr>
                <w:rFonts w:asciiTheme="majorBidi" w:hAnsiTheme="majorBidi" w:cstheme="majorBidi"/>
                <w:bCs/>
                <w:szCs w:val="24"/>
                <w:lang w:val="es-ES"/>
              </w:rPr>
            </w:pPr>
            <w:r w:rsidRPr="00D2027A">
              <w:rPr>
                <w:rFonts w:asciiTheme="majorBidi" w:hAnsiTheme="majorBidi" w:cstheme="majorBidi"/>
                <w:bCs/>
                <w:szCs w:val="24"/>
                <w:lang w:val="es-ES"/>
              </w:rPr>
              <w:t>6ª</w:t>
            </w:r>
            <w:r w:rsidRPr="00D2027A">
              <w:rPr>
                <w:rFonts w:asciiTheme="majorBidi" w:hAnsiTheme="majorBidi" w:cstheme="majorBidi"/>
                <w:bCs/>
                <w:szCs w:val="24"/>
                <w:vertAlign w:val="superscript"/>
                <w:lang w:val="es-ES"/>
              </w:rPr>
              <w:t xml:space="preserve"> </w:t>
            </w:r>
            <w:r w:rsidRPr="00A864C4">
              <w:rPr>
                <w:lang w:val="es-ES"/>
              </w:rPr>
              <w:t>Plenaria</w:t>
            </w:r>
            <w:r w:rsidR="002D0088">
              <w:rPr>
                <w:rFonts w:asciiTheme="majorBidi" w:hAnsiTheme="majorBidi" w:cstheme="majorBidi"/>
                <w:bCs/>
                <w:szCs w:val="24"/>
                <w:lang w:val="es-ES"/>
              </w:rPr>
              <w:br/>
            </w:r>
            <w:r w:rsidRPr="00D2027A">
              <w:rPr>
                <w:rFonts w:asciiTheme="majorBidi" w:hAnsiTheme="majorBidi" w:cstheme="majorBidi"/>
                <w:bCs/>
                <w:szCs w:val="24"/>
                <w:lang w:val="es-ES"/>
              </w:rPr>
              <w:t xml:space="preserve">Doc. </w:t>
            </w:r>
            <w:hyperlink r:id="rId215" w:history="1">
              <w:r w:rsidRPr="00D2027A">
                <w:rPr>
                  <w:rStyle w:val="Hyperlink"/>
                  <w:rFonts w:asciiTheme="majorBidi" w:hAnsiTheme="majorBidi" w:cstheme="majorBidi"/>
                  <w:bCs/>
                  <w:szCs w:val="24"/>
                  <w:lang w:val="es-ES"/>
                </w:rPr>
                <w:t>CMR19/469</w:t>
              </w:r>
            </w:hyperlink>
          </w:p>
          <w:p w14:paraId="2B5E53FF" w14:textId="0ACA9A5D" w:rsidR="00967792" w:rsidRPr="00D2027A" w:rsidRDefault="00967792" w:rsidP="00A864C4">
            <w:pPr>
              <w:pStyle w:val="Tabletext"/>
              <w:rPr>
                <w:rFonts w:asciiTheme="majorBidi" w:hAnsiTheme="majorBidi" w:cstheme="majorBidi"/>
                <w:bCs/>
                <w:szCs w:val="24"/>
                <w:lang w:val="es-ES"/>
              </w:rPr>
            </w:pPr>
            <w:r w:rsidRPr="00A864C4">
              <w:rPr>
                <w:lang w:val="es-ES"/>
              </w:rPr>
              <w:t>Aprobación</w:t>
            </w:r>
            <w:r>
              <w:rPr>
                <w:rFonts w:asciiTheme="majorBidi" w:hAnsiTheme="majorBidi" w:cstheme="majorBidi"/>
                <w:bCs/>
                <w:szCs w:val="24"/>
                <w:lang w:val="es-ES"/>
              </w:rPr>
              <w:t xml:space="preserve"> del Documento</w:t>
            </w:r>
            <w:r w:rsidRPr="00D2027A">
              <w:rPr>
                <w:rFonts w:asciiTheme="majorBidi" w:hAnsiTheme="majorBidi" w:cstheme="majorBidi"/>
                <w:bCs/>
                <w:szCs w:val="24"/>
                <w:lang w:val="es-ES"/>
              </w:rPr>
              <w:t xml:space="preserve"> </w:t>
            </w:r>
            <w:hyperlink r:id="rId216" w:history="1">
              <w:r w:rsidRPr="00D2027A">
                <w:rPr>
                  <w:rStyle w:val="Hyperlink"/>
                  <w:rFonts w:asciiTheme="majorBidi" w:hAnsiTheme="majorBidi" w:cstheme="majorBidi"/>
                  <w:bCs/>
                  <w:szCs w:val="24"/>
                  <w:lang w:val="es-ES"/>
                </w:rPr>
                <w:t>CMR19/232</w:t>
              </w:r>
            </w:hyperlink>
          </w:p>
        </w:tc>
        <w:tc>
          <w:tcPr>
            <w:tcW w:w="2312" w:type="pct"/>
          </w:tcPr>
          <w:p w14:paraId="70B72A4B" w14:textId="77777777" w:rsidR="00967792" w:rsidRPr="00A864C4" w:rsidRDefault="00967792" w:rsidP="00B53355">
            <w:pPr>
              <w:spacing w:before="40" w:after="40"/>
              <w:rPr>
                <w:sz w:val="22"/>
                <w:lang w:val="es-ES"/>
              </w:rPr>
            </w:pPr>
            <w:r w:rsidRPr="00A864C4">
              <w:rPr>
                <w:sz w:val="22"/>
                <w:lang w:val="es-ES"/>
              </w:rPr>
              <w:t>2.14</w:t>
            </w:r>
            <w:r w:rsidRPr="00A864C4">
              <w:rPr>
                <w:sz w:val="22"/>
                <w:lang w:val="es-ES"/>
              </w:rPr>
              <w:tab/>
              <w:t xml:space="preserve">El </w:t>
            </w:r>
            <w:r w:rsidRPr="00A864C4">
              <w:rPr>
                <w:b/>
                <w:bCs/>
                <w:sz w:val="22"/>
                <w:lang w:val="es-ES"/>
              </w:rPr>
              <w:t>Presidente de la Comisión 4</w:t>
            </w:r>
            <w:r w:rsidRPr="00A864C4">
              <w:rPr>
                <w:sz w:val="22"/>
                <w:lang w:val="es-ES"/>
              </w:rPr>
              <w:t xml:space="preserve"> presenta el Documento 232, en el que figura el octavo informe de la Comisión 4 a la Plenaria, sobre las conclusiones de la Comisión en relación con el punto 9.2 del orden del día y la aplicación del número </w:t>
            </w:r>
            <w:r w:rsidRPr="00A864C4">
              <w:rPr>
                <w:b/>
                <w:bCs/>
                <w:sz w:val="22"/>
                <w:lang w:val="es-ES"/>
              </w:rPr>
              <w:t>9.19</w:t>
            </w:r>
            <w:r w:rsidRPr="00A864C4">
              <w:rPr>
                <w:sz w:val="22"/>
                <w:lang w:val="es-ES"/>
              </w:rPr>
              <w:t xml:space="preserve"> del RR a los servicios terrenales. Se propone que el texto siguiente, que figura en el Documento 232, se apruebe y se incluya en las actas de la reunión como decisión de la Conferencia</w:t>
            </w:r>
            <w:bookmarkStart w:id="65" w:name="_Hlk24620897"/>
            <w:r w:rsidRPr="00A864C4">
              <w:rPr>
                <w:sz w:val="22"/>
                <w:lang w:val="es-ES"/>
              </w:rPr>
              <w:t>:</w:t>
            </w:r>
          </w:p>
          <w:bookmarkEnd w:id="65"/>
          <w:p w14:paraId="3DDE7D80" w14:textId="30513F92" w:rsidR="00967792" w:rsidRPr="00A864C4" w:rsidRDefault="00967792" w:rsidP="00B53355">
            <w:pPr>
              <w:spacing w:before="40" w:after="40"/>
              <w:rPr>
                <w:sz w:val="22"/>
                <w:lang w:val="es-ES"/>
              </w:rPr>
            </w:pPr>
            <w:r w:rsidRPr="00A864C4">
              <w:rPr>
                <w:sz w:val="22"/>
                <w:lang w:val="es-ES"/>
              </w:rPr>
              <w:t>«1</w:t>
            </w:r>
            <w:r w:rsidRPr="00A864C4">
              <w:rPr>
                <w:sz w:val="22"/>
                <w:lang w:val="es-ES"/>
              </w:rPr>
              <w:tab/>
              <w:t xml:space="preserve">Sobre la base de la información facilitada en el § 3.1.3.5 del Addéndum 2 al Informe del Director, se ha tomado nota de que la Oficina determina las necesidades de coordinación para las asignaciones a los servicios terrenales con respecto a las estaciones terrenas típicas del servicio de radiodifusión por satélite con arreglo al número </w:t>
            </w:r>
            <w:r w:rsidRPr="00A864C4">
              <w:rPr>
                <w:b/>
                <w:bCs/>
                <w:sz w:val="22"/>
                <w:lang w:val="es-ES"/>
              </w:rPr>
              <w:t>9.19</w:t>
            </w:r>
            <w:r w:rsidRPr="00A864C4">
              <w:rPr>
                <w:sz w:val="22"/>
                <w:lang w:val="es-ES"/>
              </w:rPr>
              <w:t xml:space="preserve"> del RR en ocho bandas de frecuencias, a saber: 620</w:t>
            </w:r>
            <w:r w:rsidR="002D0088">
              <w:rPr>
                <w:sz w:val="22"/>
                <w:lang w:val="es-ES"/>
              </w:rPr>
              <w:noBreakHyphen/>
            </w:r>
            <w:r w:rsidRPr="00A864C4">
              <w:rPr>
                <w:sz w:val="22"/>
                <w:lang w:val="es-ES"/>
              </w:rPr>
              <w:t>790</w:t>
            </w:r>
            <w:r w:rsidR="002D0088">
              <w:rPr>
                <w:sz w:val="22"/>
                <w:lang w:val="es-ES"/>
              </w:rPr>
              <w:t> </w:t>
            </w:r>
            <w:r w:rsidRPr="00A864C4">
              <w:rPr>
                <w:sz w:val="22"/>
                <w:lang w:val="es-ES"/>
              </w:rPr>
              <w:t>MHz, 1 452</w:t>
            </w:r>
            <w:r w:rsidRPr="00A864C4">
              <w:rPr>
                <w:sz w:val="22"/>
                <w:lang w:val="es-ES"/>
              </w:rPr>
              <w:noBreakHyphen/>
              <w:t>1 492 MHz, 2 310</w:t>
            </w:r>
            <w:r w:rsidRPr="00A864C4">
              <w:rPr>
                <w:sz w:val="22"/>
                <w:lang w:val="es-ES"/>
              </w:rPr>
              <w:noBreakHyphen/>
              <w:t>2 360 MHz, 2 520</w:t>
            </w:r>
            <w:r w:rsidRPr="00A864C4">
              <w:rPr>
                <w:sz w:val="22"/>
                <w:lang w:val="es-ES"/>
              </w:rPr>
              <w:noBreakHyphen/>
              <w:t>2 670</w:t>
            </w:r>
            <w:r w:rsidR="002D0088">
              <w:rPr>
                <w:sz w:val="22"/>
                <w:lang w:val="es-ES"/>
              </w:rPr>
              <w:t> </w:t>
            </w:r>
            <w:r w:rsidRPr="00A864C4">
              <w:rPr>
                <w:sz w:val="22"/>
                <w:lang w:val="es-ES"/>
              </w:rPr>
              <w:t>MHz, 11,7</w:t>
            </w:r>
            <w:r w:rsidRPr="00A864C4">
              <w:rPr>
                <w:sz w:val="22"/>
                <w:lang w:val="es-ES"/>
              </w:rPr>
              <w:noBreakHyphen/>
              <w:t>12,75 GHz, 17,7</w:t>
            </w:r>
            <w:r w:rsidRPr="00A864C4">
              <w:rPr>
                <w:sz w:val="22"/>
                <w:lang w:val="es-ES"/>
              </w:rPr>
              <w:noBreakHyphen/>
              <w:t>17,8 GHz, 40,5</w:t>
            </w:r>
            <w:r w:rsidRPr="00A864C4">
              <w:rPr>
                <w:sz w:val="22"/>
                <w:lang w:val="es-ES"/>
              </w:rPr>
              <w:noBreakHyphen/>
              <w:t>42,5 GHz y 74</w:t>
            </w:r>
            <w:r w:rsidRPr="00A864C4">
              <w:rPr>
                <w:sz w:val="22"/>
                <w:lang w:val="es-ES"/>
              </w:rPr>
              <w:noBreakHyphen/>
              <w:t>76 GHz.</w:t>
            </w:r>
          </w:p>
          <w:p w14:paraId="1B8173E4" w14:textId="0ADAF0BC" w:rsidR="00967792" w:rsidRPr="00A864C4" w:rsidRDefault="00967792" w:rsidP="00B53355">
            <w:pPr>
              <w:spacing w:before="40" w:after="40"/>
              <w:rPr>
                <w:sz w:val="22"/>
                <w:lang w:val="es-ES"/>
              </w:rPr>
            </w:pPr>
            <w:r w:rsidRPr="00A864C4">
              <w:rPr>
                <w:sz w:val="22"/>
                <w:lang w:val="es-ES"/>
              </w:rPr>
              <w:t>2</w:t>
            </w:r>
            <w:r w:rsidRPr="00A864C4">
              <w:rPr>
                <w:sz w:val="22"/>
                <w:lang w:val="es-ES"/>
              </w:rPr>
              <w:tab/>
              <w:t>También se ha tomado nota de que en la actualidad los umbrales de coordinación están disponibles solamente para la banda 11,7</w:t>
            </w:r>
            <w:r w:rsidRPr="00A864C4">
              <w:rPr>
                <w:sz w:val="22"/>
                <w:lang w:val="es-ES"/>
              </w:rPr>
              <w:noBreakHyphen/>
              <w:t>12,7 GHz, como se consigna en el Anexo 3 al Apéndice </w:t>
            </w:r>
            <w:r w:rsidRPr="00A864C4">
              <w:rPr>
                <w:b/>
                <w:bCs/>
                <w:sz w:val="22"/>
                <w:lang w:val="es-ES"/>
              </w:rPr>
              <w:t>30</w:t>
            </w:r>
            <w:r w:rsidRPr="00A864C4">
              <w:rPr>
                <w:sz w:val="22"/>
                <w:lang w:val="es-ES"/>
              </w:rPr>
              <w:t xml:space="preserve"> del</w:t>
            </w:r>
            <w:r w:rsidR="002D0088">
              <w:rPr>
                <w:sz w:val="22"/>
                <w:lang w:val="es-ES"/>
              </w:rPr>
              <w:t> </w:t>
            </w:r>
            <w:r w:rsidRPr="00A864C4">
              <w:rPr>
                <w:sz w:val="22"/>
                <w:lang w:val="es-ES"/>
              </w:rPr>
              <w:t xml:space="preserve">RR. Para las demás bandas, la Oficina utiliza las Reglas de Procedimiento del número </w:t>
            </w:r>
            <w:r w:rsidRPr="00A864C4">
              <w:rPr>
                <w:b/>
                <w:bCs/>
                <w:sz w:val="22"/>
                <w:lang w:val="es-ES"/>
              </w:rPr>
              <w:t>9.19</w:t>
            </w:r>
            <w:r w:rsidRPr="00A864C4">
              <w:rPr>
                <w:sz w:val="22"/>
                <w:lang w:val="es-ES"/>
              </w:rPr>
              <w:t xml:space="preserve"> del RR, que permiten establecer criterios de coordinación como superposición de frecuencias y distancia de coordinación de 1 200 km con respecto a los territorios en los que se encuentran las estaciones terrenas habituales del SRS. Se ha reconocido que 1 200 km sería una distancia de coordinación sumamente moderada que podría sobreestimar las necesidades reales de coordinación y dar lugar a una carga de coordinación considerable a las administraciones.</w:t>
            </w:r>
          </w:p>
          <w:p w14:paraId="5047A3E1" w14:textId="77777777" w:rsidR="00967792" w:rsidRPr="00A864C4" w:rsidRDefault="00967792" w:rsidP="00B53355">
            <w:pPr>
              <w:spacing w:before="40" w:after="40"/>
              <w:rPr>
                <w:sz w:val="22"/>
                <w:lang w:val="es-ES"/>
              </w:rPr>
            </w:pPr>
            <w:r w:rsidRPr="00A864C4">
              <w:rPr>
                <w:sz w:val="22"/>
                <w:lang w:val="es-ES"/>
              </w:rPr>
              <w:lastRenderedPageBreak/>
              <w:t>3</w:t>
            </w:r>
            <w:r w:rsidRPr="00A864C4">
              <w:rPr>
                <w:sz w:val="22"/>
                <w:lang w:val="es-ES"/>
              </w:rPr>
              <w:tab/>
              <w:t xml:space="preserve">Se invita a las Comisiones de Estudio del UIT-R pertinentes a elaborar criterios más específicos para determinar los requisitos de coordinación con arreglo al número </w:t>
            </w:r>
            <w:r w:rsidRPr="00A864C4">
              <w:rPr>
                <w:b/>
                <w:bCs/>
                <w:sz w:val="22"/>
                <w:lang w:val="es-ES"/>
              </w:rPr>
              <w:t>9.19</w:t>
            </w:r>
            <w:r w:rsidRPr="00A864C4">
              <w:rPr>
                <w:sz w:val="22"/>
                <w:lang w:val="es-ES"/>
              </w:rPr>
              <w:t xml:space="preserve"> del RR en las bandas 620</w:t>
            </w:r>
            <w:r w:rsidRPr="00A864C4">
              <w:rPr>
                <w:sz w:val="22"/>
                <w:lang w:val="es-ES"/>
              </w:rPr>
              <w:noBreakHyphen/>
              <w:t>790 MHz, 1 452</w:t>
            </w:r>
            <w:r w:rsidRPr="00A864C4">
              <w:rPr>
                <w:sz w:val="22"/>
                <w:lang w:val="es-ES"/>
              </w:rPr>
              <w:noBreakHyphen/>
              <w:t>1 492 MHz, 2 310</w:t>
            </w:r>
            <w:r w:rsidRPr="00A864C4">
              <w:rPr>
                <w:sz w:val="22"/>
                <w:lang w:val="es-ES"/>
              </w:rPr>
              <w:noBreakHyphen/>
              <w:t>2 360 MHz, 2 520</w:t>
            </w:r>
            <w:r w:rsidRPr="00A864C4">
              <w:rPr>
                <w:sz w:val="22"/>
                <w:lang w:val="es-ES"/>
              </w:rPr>
              <w:noBreakHyphen/>
              <w:t>2 670 MHz, 17,7</w:t>
            </w:r>
            <w:r w:rsidRPr="00A864C4">
              <w:rPr>
                <w:sz w:val="22"/>
                <w:lang w:val="es-ES"/>
              </w:rPr>
              <w:noBreakHyphen/>
              <w:t>17,8 GHz, 40,5 42,5 GHz y 74</w:t>
            </w:r>
            <w:r w:rsidRPr="00A864C4">
              <w:rPr>
                <w:sz w:val="22"/>
                <w:lang w:val="es-ES"/>
              </w:rPr>
              <w:noBreakHyphen/>
              <w:t>76 GHz.</w:t>
            </w:r>
          </w:p>
          <w:p w14:paraId="6766D576" w14:textId="77777777" w:rsidR="00967792" w:rsidRPr="00A864C4" w:rsidRDefault="00967792" w:rsidP="00B53355">
            <w:pPr>
              <w:spacing w:before="40" w:after="40"/>
              <w:rPr>
                <w:sz w:val="22"/>
                <w:lang w:val="es-ES"/>
              </w:rPr>
            </w:pPr>
            <w:r w:rsidRPr="00A864C4">
              <w:rPr>
                <w:sz w:val="22"/>
                <w:lang w:val="es-ES"/>
              </w:rPr>
              <w:t>4</w:t>
            </w:r>
            <w:r w:rsidRPr="00A864C4">
              <w:rPr>
                <w:sz w:val="22"/>
                <w:lang w:val="es-ES"/>
              </w:rPr>
              <w:tab/>
              <w:t xml:space="preserve">Además, se invita a la Oficina, cuando estén disponibles los umbrales de coordinación, que simule el examen de las notificaciones del número </w:t>
            </w:r>
            <w:r w:rsidRPr="00A864C4">
              <w:rPr>
                <w:b/>
                <w:bCs/>
                <w:sz w:val="22"/>
                <w:lang w:val="es-ES"/>
              </w:rPr>
              <w:t>9.19</w:t>
            </w:r>
            <w:r w:rsidRPr="00A864C4">
              <w:rPr>
                <w:sz w:val="22"/>
                <w:lang w:val="es-ES"/>
              </w:rPr>
              <w:t xml:space="preserve"> del RR en las bandas no planificadas utilizando modelos de elevación digital (DEM) y notifique los resultados de dicho examen a la Junta del Reglamento de Radiocomunicaciones para que se tomen medidas adicionales.»</w:t>
            </w:r>
          </w:p>
          <w:p w14:paraId="6F181131" w14:textId="77777777" w:rsidR="00967792" w:rsidRPr="00A864C4" w:rsidRDefault="00967792" w:rsidP="00B53355">
            <w:pPr>
              <w:spacing w:before="40" w:after="40"/>
              <w:rPr>
                <w:sz w:val="22"/>
                <w:lang w:val="es-ES"/>
              </w:rPr>
            </w:pPr>
            <w:r w:rsidRPr="00A864C4">
              <w:rPr>
                <w:sz w:val="22"/>
                <w:lang w:val="es-ES"/>
              </w:rPr>
              <w:t>2.15</w:t>
            </w:r>
            <w:r w:rsidRPr="00A864C4">
              <w:rPr>
                <w:sz w:val="22"/>
                <w:lang w:val="es-ES"/>
              </w:rPr>
              <w:tab/>
              <w:t xml:space="preserve">Así se </w:t>
            </w:r>
            <w:r w:rsidRPr="00A864C4">
              <w:rPr>
                <w:b/>
                <w:bCs/>
                <w:sz w:val="22"/>
                <w:lang w:val="es-ES"/>
              </w:rPr>
              <w:t>acuerda</w:t>
            </w:r>
            <w:r w:rsidRPr="00A864C4">
              <w:rPr>
                <w:sz w:val="22"/>
                <w:lang w:val="es-ES"/>
              </w:rPr>
              <w:t>.</w:t>
            </w:r>
          </w:p>
          <w:p w14:paraId="5CC91E60" w14:textId="0822C93E" w:rsidR="00967792" w:rsidRPr="00A864C4" w:rsidRDefault="00967792" w:rsidP="00B53355">
            <w:pPr>
              <w:spacing w:before="40" w:after="40"/>
              <w:rPr>
                <w:sz w:val="22"/>
                <w:lang w:val="es-ES"/>
              </w:rPr>
            </w:pPr>
            <w:r w:rsidRPr="00A864C4">
              <w:rPr>
                <w:sz w:val="22"/>
                <w:lang w:val="es-ES"/>
              </w:rPr>
              <w:t>2.16</w:t>
            </w:r>
            <w:r w:rsidRPr="00A864C4">
              <w:rPr>
                <w:sz w:val="22"/>
                <w:lang w:val="es-ES"/>
              </w:rPr>
              <w:tab/>
              <w:t xml:space="preserve">Se </w:t>
            </w:r>
            <w:r w:rsidRPr="00A864C4">
              <w:rPr>
                <w:b/>
                <w:bCs/>
                <w:sz w:val="22"/>
                <w:lang w:val="es-ES"/>
              </w:rPr>
              <w:t>aprueba</w:t>
            </w:r>
            <w:r w:rsidRPr="00A864C4">
              <w:rPr>
                <w:sz w:val="22"/>
                <w:lang w:val="es-ES"/>
              </w:rPr>
              <w:t xml:space="preserve"> el Documento 232.</w:t>
            </w:r>
          </w:p>
        </w:tc>
        <w:tc>
          <w:tcPr>
            <w:tcW w:w="1548" w:type="pct"/>
          </w:tcPr>
          <w:p w14:paraId="35A79C4B" w14:textId="6B848C95" w:rsidR="00967792" w:rsidRPr="00D2027A" w:rsidDel="009440F5" w:rsidRDefault="00967792" w:rsidP="00B53355">
            <w:pPr>
              <w:pStyle w:val="Tabletext"/>
              <w:rPr>
                <w:rFonts w:asciiTheme="majorBidi" w:hAnsiTheme="majorBidi" w:cstheme="majorBidi"/>
                <w:szCs w:val="24"/>
                <w:lang w:val="es-ES"/>
              </w:rPr>
            </w:pPr>
            <w:r w:rsidRPr="00484A2E">
              <w:rPr>
                <w:rFonts w:asciiTheme="majorBidi" w:hAnsiTheme="majorBidi" w:cstheme="majorBidi"/>
                <w:bCs/>
                <w:lang w:val="es-ES"/>
              </w:rPr>
              <w:lastRenderedPageBreak/>
              <w:t>La Junta aprueba la modificación de la Regla de Procedimiento correspondiente al núm</w:t>
            </w:r>
            <w:r w:rsidR="00A864C4">
              <w:rPr>
                <w:rFonts w:asciiTheme="majorBidi" w:hAnsiTheme="majorBidi" w:cstheme="majorBidi"/>
                <w:bCs/>
                <w:lang w:val="es-ES"/>
              </w:rPr>
              <w:t>ero</w:t>
            </w:r>
            <w:r w:rsidR="002D0088">
              <w:rPr>
                <w:rFonts w:asciiTheme="majorBidi" w:hAnsiTheme="majorBidi" w:cstheme="majorBidi"/>
                <w:bCs/>
                <w:lang w:val="es-ES"/>
              </w:rPr>
              <w:t> </w:t>
            </w:r>
            <w:r w:rsidRPr="00484A2E">
              <w:rPr>
                <w:rFonts w:asciiTheme="majorBidi" w:hAnsiTheme="majorBidi" w:cstheme="majorBidi"/>
                <w:b/>
                <w:lang w:val="es-ES"/>
              </w:rPr>
              <w:t>9.19</w:t>
            </w:r>
            <w:r w:rsidRPr="00484A2E">
              <w:rPr>
                <w:rFonts w:asciiTheme="majorBidi" w:hAnsiTheme="majorBidi" w:cstheme="majorBidi"/>
                <w:bCs/>
                <w:lang w:val="es-ES"/>
              </w:rPr>
              <w:t xml:space="preserve"> del RR en su 84ª reunión.</w:t>
            </w:r>
            <w:r w:rsidRPr="00D2027A">
              <w:rPr>
                <w:rFonts w:asciiTheme="majorBidi" w:hAnsiTheme="majorBidi" w:cstheme="majorBidi"/>
                <w:bCs/>
                <w:lang w:val="es-ES"/>
              </w:rPr>
              <w:t xml:space="preserve"> (</w:t>
            </w:r>
            <w:hyperlink r:id="rId217" w:history="1">
              <w:r w:rsidRPr="00D2027A">
                <w:rPr>
                  <w:rStyle w:val="Hyperlink"/>
                  <w:rFonts w:asciiTheme="majorBidi" w:hAnsiTheme="majorBidi" w:cstheme="majorBidi"/>
                  <w:bCs/>
                  <w:lang w:val="es-ES"/>
                </w:rPr>
                <w:t>CR/465</w:t>
              </w:r>
            </w:hyperlink>
            <w:r w:rsidRPr="00D2027A">
              <w:rPr>
                <w:rFonts w:asciiTheme="majorBidi" w:hAnsiTheme="majorBidi" w:cstheme="majorBidi"/>
                <w:bCs/>
                <w:lang w:val="es-ES"/>
              </w:rPr>
              <w:t>).</w:t>
            </w:r>
          </w:p>
        </w:tc>
      </w:tr>
      <w:tr w:rsidR="00967792" w:rsidRPr="00D2027A" w14:paraId="4F94D791" w14:textId="77777777" w:rsidTr="00924C8B">
        <w:trPr>
          <w:jc w:val="center"/>
        </w:trPr>
        <w:tc>
          <w:tcPr>
            <w:tcW w:w="183" w:type="pct"/>
          </w:tcPr>
          <w:p w14:paraId="38F4CB9B" w14:textId="403074A0" w:rsidR="00967792" w:rsidRPr="00F93165" w:rsidRDefault="00967792" w:rsidP="00B53355">
            <w:pPr>
              <w:pStyle w:val="Tabletext"/>
              <w:rPr>
                <w:lang w:val="es-ES"/>
              </w:rPr>
            </w:pPr>
            <w:r w:rsidRPr="00F93165">
              <w:rPr>
                <w:lang w:val="es-ES"/>
              </w:rPr>
              <w:t>67</w:t>
            </w:r>
          </w:p>
        </w:tc>
        <w:tc>
          <w:tcPr>
            <w:tcW w:w="434" w:type="pct"/>
          </w:tcPr>
          <w:p w14:paraId="2233C104" w14:textId="2884DA08" w:rsidR="00967792" w:rsidRPr="00A616CA" w:rsidRDefault="00967792" w:rsidP="00B53355">
            <w:pPr>
              <w:pStyle w:val="Tabletext"/>
              <w:rPr>
                <w:lang w:val="es-ES"/>
              </w:rPr>
            </w:pPr>
            <w:r w:rsidRPr="00A616CA">
              <w:rPr>
                <w:lang w:val="es-ES"/>
              </w:rPr>
              <w:t>CMR-19</w:t>
            </w:r>
          </w:p>
        </w:tc>
        <w:tc>
          <w:tcPr>
            <w:tcW w:w="523" w:type="pct"/>
          </w:tcPr>
          <w:p w14:paraId="74B9EC85" w14:textId="40DB2BA2" w:rsidR="00967792" w:rsidRPr="00D2027A" w:rsidRDefault="00967792" w:rsidP="00A864C4">
            <w:pPr>
              <w:pStyle w:val="Tabletext"/>
              <w:rPr>
                <w:rFonts w:asciiTheme="majorBidi" w:hAnsiTheme="majorBidi" w:cstheme="majorBidi"/>
                <w:bCs/>
                <w:szCs w:val="24"/>
                <w:lang w:val="es-ES"/>
              </w:rPr>
            </w:pPr>
            <w:r w:rsidRPr="00D2027A">
              <w:rPr>
                <w:rFonts w:asciiTheme="majorBidi" w:hAnsiTheme="majorBidi" w:cstheme="majorBidi"/>
                <w:bCs/>
                <w:szCs w:val="24"/>
                <w:lang w:val="es-ES"/>
              </w:rPr>
              <w:t>6ª</w:t>
            </w:r>
            <w:r w:rsidRPr="00D2027A">
              <w:rPr>
                <w:rFonts w:asciiTheme="majorBidi" w:hAnsiTheme="majorBidi" w:cstheme="majorBidi"/>
                <w:bCs/>
                <w:szCs w:val="24"/>
                <w:vertAlign w:val="superscript"/>
                <w:lang w:val="es-ES"/>
              </w:rPr>
              <w:t xml:space="preserve"> </w:t>
            </w:r>
            <w:r w:rsidRPr="00D2027A">
              <w:rPr>
                <w:rFonts w:asciiTheme="majorBidi" w:hAnsiTheme="majorBidi" w:cstheme="majorBidi"/>
                <w:bCs/>
                <w:szCs w:val="24"/>
                <w:lang w:val="es-ES"/>
              </w:rPr>
              <w:t>Plenaria</w:t>
            </w:r>
            <w:r w:rsidR="002D0088">
              <w:rPr>
                <w:rFonts w:asciiTheme="majorBidi" w:hAnsiTheme="majorBidi" w:cstheme="majorBidi"/>
                <w:bCs/>
                <w:szCs w:val="24"/>
                <w:lang w:val="es-ES"/>
              </w:rPr>
              <w:br/>
            </w:r>
            <w:r w:rsidRPr="00D2027A">
              <w:rPr>
                <w:rFonts w:asciiTheme="majorBidi" w:hAnsiTheme="majorBidi" w:cstheme="majorBidi"/>
                <w:bCs/>
                <w:szCs w:val="24"/>
                <w:lang w:val="es-ES"/>
              </w:rPr>
              <w:t xml:space="preserve">Doc. </w:t>
            </w:r>
            <w:hyperlink r:id="rId218" w:history="1">
              <w:r w:rsidRPr="00D2027A">
                <w:rPr>
                  <w:rStyle w:val="Hyperlink"/>
                  <w:rFonts w:asciiTheme="majorBidi" w:hAnsiTheme="majorBidi" w:cstheme="majorBidi"/>
                  <w:bCs/>
                  <w:szCs w:val="24"/>
                  <w:lang w:val="es-ES"/>
                </w:rPr>
                <w:t>CMR19/469</w:t>
              </w:r>
            </w:hyperlink>
          </w:p>
          <w:p w14:paraId="368089C6" w14:textId="3F7FA72D" w:rsidR="00967792" w:rsidRPr="00D2027A" w:rsidRDefault="00967792" w:rsidP="00A864C4">
            <w:pPr>
              <w:pStyle w:val="Tabletext"/>
              <w:rPr>
                <w:rFonts w:asciiTheme="majorBidi" w:hAnsiTheme="majorBidi" w:cstheme="majorBidi"/>
                <w:bCs/>
                <w:szCs w:val="24"/>
                <w:lang w:val="es-ES"/>
              </w:rPr>
            </w:pPr>
            <w:r w:rsidRPr="00A864C4">
              <w:rPr>
                <w:lang w:val="es-ES"/>
              </w:rPr>
              <w:t>Aprobación</w:t>
            </w:r>
            <w:r>
              <w:rPr>
                <w:rFonts w:asciiTheme="majorBidi" w:hAnsiTheme="majorBidi" w:cstheme="majorBidi"/>
                <w:bCs/>
                <w:szCs w:val="24"/>
                <w:lang w:val="es-ES"/>
              </w:rPr>
              <w:t xml:space="preserve"> del Documento</w:t>
            </w:r>
            <w:r w:rsidRPr="00D2027A">
              <w:rPr>
                <w:rFonts w:asciiTheme="majorBidi" w:hAnsiTheme="majorBidi" w:cstheme="majorBidi"/>
                <w:bCs/>
                <w:szCs w:val="24"/>
                <w:lang w:val="es-ES"/>
              </w:rPr>
              <w:t xml:space="preserve"> </w:t>
            </w:r>
            <w:hyperlink r:id="rId219" w:history="1">
              <w:r w:rsidRPr="00D2027A">
                <w:rPr>
                  <w:rStyle w:val="Hyperlink"/>
                  <w:rFonts w:asciiTheme="majorBidi" w:hAnsiTheme="majorBidi" w:cstheme="majorBidi"/>
                  <w:bCs/>
                  <w:szCs w:val="24"/>
                  <w:lang w:val="es-ES"/>
                </w:rPr>
                <w:t>CMR19/293</w:t>
              </w:r>
            </w:hyperlink>
          </w:p>
        </w:tc>
        <w:tc>
          <w:tcPr>
            <w:tcW w:w="2312" w:type="pct"/>
          </w:tcPr>
          <w:p w14:paraId="5A821F57" w14:textId="77777777" w:rsidR="00967792" w:rsidRPr="00A864C4" w:rsidRDefault="00967792" w:rsidP="00B53355">
            <w:pPr>
              <w:spacing w:before="40" w:after="40"/>
              <w:rPr>
                <w:sz w:val="22"/>
                <w:lang w:val="es-ES"/>
              </w:rPr>
            </w:pPr>
            <w:r w:rsidRPr="00A864C4">
              <w:rPr>
                <w:sz w:val="22"/>
                <w:lang w:val="es-ES"/>
              </w:rPr>
              <w:t>2.20</w:t>
            </w:r>
            <w:r w:rsidRPr="00A864C4">
              <w:rPr>
                <w:sz w:val="22"/>
                <w:lang w:val="es-ES"/>
              </w:rPr>
              <w:tab/>
              <w:t xml:space="preserve">El </w:t>
            </w:r>
            <w:r w:rsidRPr="00A864C4">
              <w:rPr>
                <w:b/>
                <w:bCs/>
                <w:sz w:val="22"/>
                <w:lang w:val="es-ES"/>
              </w:rPr>
              <w:t>Presidente de la Comisión 5</w:t>
            </w:r>
            <w:r w:rsidRPr="00A864C4">
              <w:rPr>
                <w:sz w:val="22"/>
                <w:lang w:val="es-ES"/>
              </w:rPr>
              <w:t xml:space="preserve"> presenta el Documento 293, en el que figura el primer informe de la Comisión 5 a la Plenaria y recoge las conclusiones de la Comisión en relación con el punto 1.2 del orden del día. Se propone que se apruebe el texto del Documento siguiente y que se incluya en el acta de la reunión como decisión de la Conferencia:</w:t>
            </w:r>
          </w:p>
          <w:p w14:paraId="4CF93C06" w14:textId="46FEC017" w:rsidR="00967792" w:rsidRPr="00A864C4" w:rsidRDefault="00967792" w:rsidP="00B53355">
            <w:pPr>
              <w:spacing w:before="40" w:after="40"/>
              <w:rPr>
                <w:b/>
                <w:bCs/>
                <w:sz w:val="22"/>
                <w:lang w:val="es-ES"/>
              </w:rPr>
            </w:pPr>
            <w:r w:rsidRPr="00A864C4">
              <w:rPr>
                <w:sz w:val="22"/>
                <w:lang w:val="es-ES"/>
              </w:rPr>
              <w:t>«Observando las circunstancias excepcionales a las que se han enfrentado la Administración de Eslovenia durante la puesta en servicio de la red de satélites NEMO</w:t>
            </w:r>
            <w:r w:rsidRPr="00A864C4">
              <w:rPr>
                <w:sz w:val="22"/>
                <w:lang w:val="es-ES"/>
              </w:rPr>
              <w:noBreakHyphen/>
              <w:t>HD, la CMR-19 decide excluir las asignaciones de esta red de satélites, inscrita en el Registro Internacional de Frecuencias (véase la Parte II-S contenida en la BR</w:t>
            </w:r>
            <w:r w:rsidR="002D0088">
              <w:rPr>
                <w:sz w:val="22"/>
                <w:lang w:val="es-ES"/>
              </w:rPr>
              <w:t> </w:t>
            </w:r>
            <w:r w:rsidRPr="00A864C4">
              <w:rPr>
                <w:sz w:val="22"/>
                <w:lang w:val="es-ES"/>
              </w:rPr>
              <w:t xml:space="preserve">IFIC 2832), de la aplicación de los límites de p.i.r.e. en la banda de frecuencias 401-403 MHz que figuran en el número </w:t>
            </w:r>
            <w:r w:rsidRPr="00A864C4">
              <w:rPr>
                <w:b/>
                <w:bCs/>
                <w:sz w:val="22"/>
                <w:lang w:val="es-ES"/>
              </w:rPr>
              <w:t>5.C12</w:t>
            </w:r>
            <w:r w:rsidRPr="00A864C4">
              <w:rPr>
                <w:sz w:val="22"/>
                <w:lang w:val="es-ES"/>
              </w:rPr>
              <w:t xml:space="preserve"> del RR hasta el 22 de noviembre de 2029, y encarga a la Oficina de Radiocomunicaciones que actúe en consecuencia.»</w:t>
            </w:r>
          </w:p>
          <w:p w14:paraId="10808FD8" w14:textId="77777777" w:rsidR="00967792" w:rsidRPr="00A864C4" w:rsidRDefault="00967792" w:rsidP="00B53355">
            <w:pPr>
              <w:spacing w:before="40" w:after="40"/>
              <w:rPr>
                <w:sz w:val="22"/>
                <w:lang w:val="es-ES"/>
              </w:rPr>
            </w:pPr>
            <w:r w:rsidRPr="00A864C4">
              <w:rPr>
                <w:sz w:val="22"/>
                <w:lang w:val="es-ES"/>
              </w:rPr>
              <w:t>2.21</w:t>
            </w:r>
            <w:r w:rsidRPr="00A864C4">
              <w:rPr>
                <w:sz w:val="22"/>
                <w:lang w:val="es-ES"/>
              </w:rPr>
              <w:tab/>
              <w:t xml:space="preserve">Así se </w:t>
            </w:r>
            <w:r w:rsidRPr="00A864C4">
              <w:rPr>
                <w:b/>
                <w:bCs/>
                <w:sz w:val="22"/>
                <w:lang w:val="es-ES"/>
              </w:rPr>
              <w:t>acuerda</w:t>
            </w:r>
            <w:r w:rsidRPr="00A864C4">
              <w:rPr>
                <w:sz w:val="22"/>
                <w:lang w:val="es-ES"/>
              </w:rPr>
              <w:t>.</w:t>
            </w:r>
          </w:p>
          <w:p w14:paraId="7C324A2A" w14:textId="6845D355" w:rsidR="00967792" w:rsidRPr="00A864C4" w:rsidRDefault="00967792" w:rsidP="00B53355">
            <w:pPr>
              <w:spacing w:before="40" w:after="40"/>
              <w:rPr>
                <w:b/>
                <w:bCs/>
                <w:sz w:val="22"/>
                <w:lang w:val="es-ES"/>
              </w:rPr>
            </w:pPr>
            <w:r w:rsidRPr="00A864C4">
              <w:rPr>
                <w:sz w:val="22"/>
                <w:lang w:val="es-ES"/>
              </w:rPr>
              <w:t>2.22</w:t>
            </w:r>
            <w:r w:rsidRPr="00A864C4">
              <w:rPr>
                <w:sz w:val="22"/>
                <w:lang w:val="es-ES"/>
              </w:rPr>
              <w:tab/>
              <w:t xml:space="preserve">Se </w:t>
            </w:r>
            <w:r w:rsidRPr="00A864C4">
              <w:rPr>
                <w:b/>
                <w:bCs/>
                <w:sz w:val="22"/>
                <w:lang w:val="es-ES"/>
              </w:rPr>
              <w:t>aprueba</w:t>
            </w:r>
            <w:r w:rsidRPr="00A864C4">
              <w:rPr>
                <w:sz w:val="22"/>
                <w:lang w:val="es-ES"/>
              </w:rPr>
              <w:t xml:space="preserve"> el Documento 293.</w:t>
            </w:r>
          </w:p>
        </w:tc>
        <w:tc>
          <w:tcPr>
            <w:tcW w:w="1548" w:type="pct"/>
          </w:tcPr>
          <w:p w14:paraId="2A4C6393" w14:textId="48506120" w:rsidR="00967792" w:rsidRPr="00266695" w:rsidDel="009440F5" w:rsidRDefault="00967792" w:rsidP="00B53355">
            <w:pPr>
              <w:pStyle w:val="Tabletext"/>
              <w:rPr>
                <w:lang w:val="es-ES"/>
              </w:rPr>
            </w:pPr>
            <w:r w:rsidRPr="00266695">
              <w:rPr>
                <w:lang w:val="es-ES"/>
              </w:rPr>
              <w:t>–</w:t>
            </w:r>
          </w:p>
        </w:tc>
      </w:tr>
      <w:tr w:rsidR="00967792" w:rsidRPr="00D2027A" w14:paraId="3953F82F" w14:textId="77777777" w:rsidTr="00F65386">
        <w:trPr>
          <w:cantSplit/>
          <w:jc w:val="center"/>
        </w:trPr>
        <w:tc>
          <w:tcPr>
            <w:tcW w:w="183" w:type="pct"/>
          </w:tcPr>
          <w:p w14:paraId="1C1EB55D" w14:textId="5E9F5F5F" w:rsidR="00967792" w:rsidRPr="00F93165" w:rsidRDefault="00967792" w:rsidP="00B53355">
            <w:pPr>
              <w:pStyle w:val="Tabletext"/>
              <w:rPr>
                <w:highlight w:val="yellow"/>
                <w:lang w:val="es-ES"/>
              </w:rPr>
            </w:pPr>
            <w:r w:rsidRPr="009B6F4D">
              <w:rPr>
                <w:lang w:val="es-ES"/>
              </w:rPr>
              <w:lastRenderedPageBreak/>
              <w:t>68</w:t>
            </w:r>
          </w:p>
        </w:tc>
        <w:tc>
          <w:tcPr>
            <w:tcW w:w="434" w:type="pct"/>
          </w:tcPr>
          <w:p w14:paraId="61206289" w14:textId="4FCD141B" w:rsidR="00967792" w:rsidRPr="00A616CA" w:rsidRDefault="00967792" w:rsidP="00B53355">
            <w:pPr>
              <w:pStyle w:val="Tabletext"/>
              <w:rPr>
                <w:lang w:val="es-ES"/>
              </w:rPr>
            </w:pPr>
            <w:r w:rsidRPr="00A616CA">
              <w:rPr>
                <w:lang w:val="es-ES"/>
              </w:rPr>
              <w:t>CMR-19</w:t>
            </w:r>
          </w:p>
        </w:tc>
        <w:tc>
          <w:tcPr>
            <w:tcW w:w="523" w:type="pct"/>
          </w:tcPr>
          <w:p w14:paraId="79FE6216" w14:textId="6C0157DC" w:rsidR="00967792" w:rsidRPr="00D2027A" w:rsidRDefault="00967792" w:rsidP="00A864C4">
            <w:pPr>
              <w:pStyle w:val="Tabletext"/>
              <w:rPr>
                <w:rFonts w:asciiTheme="majorBidi" w:hAnsiTheme="majorBidi" w:cstheme="majorBidi"/>
                <w:bCs/>
                <w:szCs w:val="24"/>
                <w:lang w:val="es-ES"/>
              </w:rPr>
            </w:pPr>
            <w:r w:rsidRPr="00D2027A">
              <w:rPr>
                <w:rFonts w:asciiTheme="majorBidi" w:hAnsiTheme="majorBidi" w:cstheme="majorBidi"/>
                <w:bCs/>
                <w:szCs w:val="24"/>
                <w:lang w:val="es-ES"/>
              </w:rPr>
              <w:t>6ª</w:t>
            </w:r>
            <w:r w:rsidRPr="00D2027A">
              <w:rPr>
                <w:rFonts w:asciiTheme="majorBidi" w:hAnsiTheme="majorBidi" w:cstheme="majorBidi"/>
                <w:bCs/>
                <w:szCs w:val="24"/>
                <w:vertAlign w:val="superscript"/>
                <w:lang w:val="es-ES"/>
              </w:rPr>
              <w:t xml:space="preserve"> </w:t>
            </w:r>
            <w:r w:rsidRPr="00D2027A">
              <w:rPr>
                <w:rFonts w:asciiTheme="majorBidi" w:hAnsiTheme="majorBidi" w:cstheme="majorBidi"/>
                <w:bCs/>
                <w:szCs w:val="24"/>
                <w:lang w:val="es-ES"/>
              </w:rPr>
              <w:t>Plenaria</w:t>
            </w:r>
            <w:r w:rsidR="002D0088">
              <w:rPr>
                <w:rFonts w:asciiTheme="majorBidi" w:hAnsiTheme="majorBidi" w:cstheme="majorBidi"/>
                <w:bCs/>
                <w:szCs w:val="24"/>
                <w:lang w:val="es-ES"/>
              </w:rPr>
              <w:br/>
            </w:r>
            <w:r w:rsidRPr="00A864C4">
              <w:rPr>
                <w:lang w:val="es-ES"/>
              </w:rPr>
              <w:t>Doc</w:t>
            </w:r>
            <w:r w:rsidRPr="00D2027A">
              <w:rPr>
                <w:rFonts w:asciiTheme="majorBidi" w:hAnsiTheme="majorBidi" w:cstheme="majorBidi"/>
                <w:bCs/>
                <w:szCs w:val="24"/>
                <w:lang w:val="es-ES"/>
              </w:rPr>
              <w:t xml:space="preserve">. </w:t>
            </w:r>
            <w:hyperlink r:id="rId220" w:history="1">
              <w:r w:rsidRPr="00D2027A">
                <w:rPr>
                  <w:rStyle w:val="Hyperlink"/>
                  <w:rFonts w:asciiTheme="majorBidi" w:hAnsiTheme="majorBidi" w:cstheme="majorBidi"/>
                  <w:bCs/>
                  <w:szCs w:val="24"/>
                  <w:lang w:val="es-ES"/>
                </w:rPr>
                <w:t>CMR19/469</w:t>
              </w:r>
            </w:hyperlink>
          </w:p>
          <w:p w14:paraId="327112FD" w14:textId="26FA7A5E" w:rsidR="00967792" w:rsidRPr="00D2027A" w:rsidRDefault="00967792" w:rsidP="00A864C4">
            <w:pPr>
              <w:pStyle w:val="Tabletext"/>
              <w:rPr>
                <w:rFonts w:asciiTheme="majorBidi" w:hAnsiTheme="majorBidi" w:cstheme="majorBidi"/>
                <w:bCs/>
                <w:szCs w:val="24"/>
                <w:lang w:val="es-ES"/>
              </w:rPr>
            </w:pPr>
            <w:r>
              <w:rPr>
                <w:rFonts w:asciiTheme="majorBidi" w:hAnsiTheme="majorBidi" w:cstheme="majorBidi"/>
                <w:bCs/>
                <w:szCs w:val="24"/>
                <w:lang w:val="es-ES"/>
              </w:rPr>
              <w:t xml:space="preserve">Aprobación del </w:t>
            </w:r>
            <w:r w:rsidRPr="00A864C4">
              <w:rPr>
                <w:lang w:val="es-ES"/>
              </w:rPr>
              <w:t>Documento</w:t>
            </w:r>
            <w:r w:rsidRPr="00D2027A">
              <w:rPr>
                <w:rFonts w:asciiTheme="majorBidi" w:hAnsiTheme="majorBidi" w:cstheme="majorBidi"/>
                <w:bCs/>
                <w:szCs w:val="24"/>
                <w:lang w:val="es-ES"/>
              </w:rPr>
              <w:t xml:space="preserve"> </w:t>
            </w:r>
            <w:hyperlink r:id="rId221" w:history="1">
              <w:r w:rsidRPr="00D2027A">
                <w:rPr>
                  <w:rStyle w:val="Hyperlink"/>
                  <w:rFonts w:asciiTheme="majorBidi" w:hAnsiTheme="majorBidi" w:cstheme="majorBidi"/>
                  <w:bCs/>
                  <w:szCs w:val="24"/>
                  <w:lang w:val="es-ES"/>
                </w:rPr>
                <w:t>CMR19/289</w:t>
              </w:r>
            </w:hyperlink>
          </w:p>
        </w:tc>
        <w:tc>
          <w:tcPr>
            <w:tcW w:w="2312" w:type="pct"/>
          </w:tcPr>
          <w:p w14:paraId="69C432AF" w14:textId="77777777" w:rsidR="00967792" w:rsidRPr="00A864C4" w:rsidRDefault="00967792" w:rsidP="00B53355">
            <w:pPr>
              <w:spacing w:before="40" w:after="40"/>
              <w:rPr>
                <w:sz w:val="22"/>
                <w:lang w:val="es-ES"/>
              </w:rPr>
            </w:pPr>
            <w:r w:rsidRPr="00A864C4">
              <w:rPr>
                <w:sz w:val="22"/>
                <w:lang w:val="es-ES"/>
              </w:rPr>
              <w:t>2.23</w:t>
            </w:r>
            <w:r w:rsidRPr="00A864C4">
              <w:rPr>
                <w:sz w:val="22"/>
                <w:lang w:val="es-ES"/>
              </w:rPr>
              <w:tab/>
              <w:t xml:space="preserve">El </w:t>
            </w:r>
            <w:r w:rsidRPr="00A864C4">
              <w:rPr>
                <w:b/>
                <w:bCs/>
                <w:sz w:val="22"/>
                <w:lang w:val="es-ES"/>
              </w:rPr>
              <w:t>Presidente de la Comisión 6</w:t>
            </w:r>
            <w:r w:rsidRPr="00A864C4">
              <w:rPr>
                <w:sz w:val="22"/>
                <w:lang w:val="es-ES"/>
              </w:rPr>
              <w:t xml:space="preserve"> presenta el Documento 289, que contiene el segundo informe de la Comisión 6 a la Plenaria y recoge las conclusiones de la Comisión sobre el punto 4 del orden del día y la aplicación de la Resolución </w:t>
            </w:r>
            <w:r w:rsidRPr="00A864C4">
              <w:rPr>
                <w:b/>
                <w:bCs/>
                <w:sz w:val="22"/>
                <w:lang w:val="es-ES"/>
              </w:rPr>
              <w:t>95 (Rev.CMR-07)</w:t>
            </w:r>
            <w:r w:rsidRPr="00A864C4">
              <w:rPr>
                <w:sz w:val="22"/>
                <w:lang w:val="es-ES"/>
              </w:rPr>
              <w:t xml:space="preserve">. La Comisión ha acordado suprimir la Resolución </w:t>
            </w:r>
            <w:r w:rsidRPr="00A864C4">
              <w:rPr>
                <w:b/>
                <w:bCs/>
                <w:sz w:val="22"/>
                <w:lang w:val="es-ES"/>
              </w:rPr>
              <w:t>556 (CMR-15)</w:t>
            </w:r>
            <w:r w:rsidRPr="00A864C4">
              <w:rPr>
                <w:sz w:val="22"/>
                <w:lang w:val="es-ES"/>
              </w:rPr>
              <w:t>. En aras de la claridad, se propone que el texto siguiente, que figura en el Documento 289, se apruebe y se incluya en las actas de la reunión como decisión de la conferencia:</w:t>
            </w:r>
          </w:p>
          <w:p w14:paraId="26D965E0" w14:textId="77777777" w:rsidR="00967792" w:rsidRPr="00A864C4" w:rsidRDefault="00967792" w:rsidP="00B53355">
            <w:pPr>
              <w:spacing w:before="40" w:after="40"/>
              <w:rPr>
                <w:sz w:val="22"/>
                <w:lang w:val="es-ES"/>
              </w:rPr>
            </w:pPr>
            <w:r w:rsidRPr="00A864C4">
              <w:rPr>
                <w:sz w:val="22"/>
                <w:lang w:val="es-ES"/>
              </w:rPr>
              <w:t xml:space="preserve">«Como resultado de la supresión de la Resolución </w:t>
            </w:r>
            <w:r w:rsidRPr="00A864C4">
              <w:rPr>
                <w:b/>
                <w:bCs/>
                <w:sz w:val="22"/>
                <w:lang w:val="es-ES"/>
              </w:rPr>
              <w:t>556 (CMR-15)</w:t>
            </w:r>
            <w:r w:rsidRPr="00A864C4">
              <w:rPr>
                <w:sz w:val="22"/>
                <w:lang w:val="es-ES"/>
              </w:rPr>
              <w:t>, se encarga a la Oficina que siga aplicando el método de cálculo en vigor en relación con la asignación analógica en el Plan para la Región 2».</w:t>
            </w:r>
          </w:p>
          <w:p w14:paraId="7D261757" w14:textId="77777777" w:rsidR="00967792" w:rsidRPr="00A864C4" w:rsidRDefault="00967792" w:rsidP="00B53355">
            <w:pPr>
              <w:spacing w:before="40" w:after="40"/>
              <w:rPr>
                <w:sz w:val="22"/>
                <w:lang w:val="es-ES"/>
              </w:rPr>
            </w:pPr>
            <w:r w:rsidRPr="00A864C4">
              <w:rPr>
                <w:sz w:val="22"/>
                <w:lang w:val="es-ES"/>
              </w:rPr>
              <w:t>2.24</w:t>
            </w:r>
            <w:r w:rsidRPr="00A864C4">
              <w:rPr>
                <w:sz w:val="22"/>
                <w:lang w:val="es-ES"/>
              </w:rPr>
              <w:tab/>
              <w:t xml:space="preserve">Así se </w:t>
            </w:r>
            <w:r w:rsidRPr="00A864C4">
              <w:rPr>
                <w:b/>
                <w:bCs/>
                <w:sz w:val="22"/>
                <w:lang w:val="es-ES"/>
              </w:rPr>
              <w:t>acuerda</w:t>
            </w:r>
            <w:r w:rsidRPr="00A864C4">
              <w:rPr>
                <w:sz w:val="22"/>
                <w:lang w:val="es-ES"/>
              </w:rPr>
              <w:t>.</w:t>
            </w:r>
          </w:p>
          <w:p w14:paraId="395A640F" w14:textId="5C2C92E9" w:rsidR="00967792" w:rsidRPr="00A864C4" w:rsidRDefault="00967792" w:rsidP="00B53355">
            <w:pPr>
              <w:spacing w:before="40" w:after="40"/>
              <w:rPr>
                <w:sz w:val="22"/>
                <w:lang w:val="es-ES"/>
              </w:rPr>
            </w:pPr>
            <w:r w:rsidRPr="00A864C4">
              <w:rPr>
                <w:sz w:val="22"/>
                <w:lang w:val="es-ES"/>
              </w:rPr>
              <w:t>2.25</w:t>
            </w:r>
            <w:r w:rsidRPr="00A864C4">
              <w:rPr>
                <w:sz w:val="22"/>
                <w:lang w:val="es-ES"/>
              </w:rPr>
              <w:tab/>
              <w:t xml:space="preserve">El </w:t>
            </w:r>
            <w:r w:rsidRPr="00A864C4">
              <w:rPr>
                <w:b/>
                <w:bCs/>
                <w:sz w:val="22"/>
                <w:lang w:val="es-ES"/>
              </w:rPr>
              <w:t xml:space="preserve">Presidente </w:t>
            </w:r>
            <w:r w:rsidRPr="00A864C4">
              <w:rPr>
                <w:sz w:val="22"/>
                <w:lang w:val="es-ES"/>
              </w:rPr>
              <w:t>toma nota de que la supresión de la Resolución</w:t>
            </w:r>
            <w:r w:rsidR="00F65386">
              <w:rPr>
                <w:sz w:val="22"/>
                <w:lang w:val="es-ES"/>
              </w:rPr>
              <w:t> </w:t>
            </w:r>
            <w:r w:rsidRPr="00A864C4">
              <w:rPr>
                <w:b/>
                <w:bCs/>
                <w:sz w:val="22"/>
                <w:lang w:val="es-ES"/>
              </w:rPr>
              <w:t>556 (CMR-15)</w:t>
            </w:r>
            <w:r w:rsidRPr="00A864C4">
              <w:rPr>
                <w:sz w:val="22"/>
                <w:lang w:val="es-ES"/>
              </w:rPr>
              <w:t xml:space="preserve"> se examinará en una Sesión Plenaria ulterior.</w:t>
            </w:r>
          </w:p>
          <w:p w14:paraId="36F238FF" w14:textId="1754AF00" w:rsidR="00967792" w:rsidRPr="00A864C4" w:rsidRDefault="00967792" w:rsidP="00B53355">
            <w:pPr>
              <w:spacing w:before="40" w:after="40"/>
              <w:rPr>
                <w:sz w:val="22"/>
                <w:lang w:val="es-ES"/>
              </w:rPr>
            </w:pPr>
            <w:r w:rsidRPr="00A864C4">
              <w:rPr>
                <w:sz w:val="22"/>
                <w:lang w:val="es-ES"/>
              </w:rPr>
              <w:t>2.26</w:t>
            </w:r>
            <w:r w:rsidRPr="00A864C4">
              <w:rPr>
                <w:sz w:val="22"/>
                <w:lang w:val="es-ES"/>
              </w:rPr>
              <w:tab/>
              <w:t xml:space="preserve">Se </w:t>
            </w:r>
            <w:r w:rsidRPr="00A864C4">
              <w:rPr>
                <w:b/>
                <w:bCs/>
                <w:sz w:val="22"/>
                <w:lang w:val="es-ES"/>
              </w:rPr>
              <w:t>aprueba</w:t>
            </w:r>
            <w:r w:rsidRPr="00A864C4">
              <w:rPr>
                <w:sz w:val="22"/>
                <w:lang w:val="es-ES"/>
              </w:rPr>
              <w:t xml:space="preserve"> el Documento 289 sobre la base de ese entendimiento.</w:t>
            </w:r>
          </w:p>
        </w:tc>
        <w:tc>
          <w:tcPr>
            <w:tcW w:w="1548" w:type="pct"/>
          </w:tcPr>
          <w:p w14:paraId="4D89C4E9" w14:textId="1FACD10E" w:rsidR="00967792" w:rsidRPr="00266695" w:rsidDel="009440F5" w:rsidRDefault="00967792" w:rsidP="00B53355">
            <w:pPr>
              <w:pStyle w:val="Tabletext"/>
              <w:rPr>
                <w:lang w:val="es-ES"/>
              </w:rPr>
            </w:pPr>
            <w:r w:rsidRPr="00266695">
              <w:rPr>
                <w:lang w:val="es-ES"/>
              </w:rPr>
              <w:t>–</w:t>
            </w:r>
          </w:p>
        </w:tc>
      </w:tr>
      <w:tr w:rsidR="00967792" w:rsidRPr="007576BD" w14:paraId="4BDF47CE" w14:textId="77777777" w:rsidTr="00924C8B">
        <w:trPr>
          <w:jc w:val="center"/>
        </w:trPr>
        <w:tc>
          <w:tcPr>
            <w:tcW w:w="183" w:type="pct"/>
          </w:tcPr>
          <w:p w14:paraId="1A999281" w14:textId="01F99489" w:rsidR="00967792" w:rsidRPr="00A616CA" w:rsidRDefault="00967792" w:rsidP="00B53355">
            <w:pPr>
              <w:pStyle w:val="Tabletext"/>
              <w:rPr>
                <w:lang w:val="es-ES"/>
              </w:rPr>
            </w:pPr>
            <w:r w:rsidRPr="00A616CA">
              <w:rPr>
                <w:lang w:val="es-ES"/>
              </w:rPr>
              <w:t>69</w:t>
            </w:r>
          </w:p>
        </w:tc>
        <w:tc>
          <w:tcPr>
            <w:tcW w:w="434" w:type="pct"/>
          </w:tcPr>
          <w:p w14:paraId="10961557" w14:textId="203524CA" w:rsidR="00967792" w:rsidRPr="00A616CA" w:rsidRDefault="00967792" w:rsidP="00B53355">
            <w:pPr>
              <w:pStyle w:val="Tabletext"/>
              <w:rPr>
                <w:lang w:val="es-ES"/>
              </w:rPr>
            </w:pPr>
            <w:r w:rsidRPr="00A616CA">
              <w:rPr>
                <w:lang w:val="es-ES"/>
              </w:rPr>
              <w:t>CMR-19</w:t>
            </w:r>
          </w:p>
        </w:tc>
        <w:tc>
          <w:tcPr>
            <w:tcW w:w="523" w:type="pct"/>
          </w:tcPr>
          <w:p w14:paraId="3BCA8702" w14:textId="00BD65B9" w:rsidR="00967792" w:rsidRPr="00D2027A" w:rsidRDefault="00967792" w:rsidP="00A864C4">
            <w:pPr>
              <w:pStyle w:val="Tabletext"/>
              <w:rPr>
                <w:rFonts w:asciiTheme="majorBidi" w:hAnsiTheme="majorBidi" w:cstheme="majorBidi"/>
                <w:bCs/>
                <w:szCs w:val="24"/>
                <w:lang w:val="es-ES"/>
              </w:rPr>
            </w:pPr>
            <w:r w:rsidRPr="00D2027A">
              <w:rPr>
                <w:rFonts w:asciiTheme="majorBidi" w:hAnsiTheme="majorBidi" w:cstheme="majorBidi"/>
                <w:bCs/>
                <w:szCs w:val="24"/>
                <w:lang w:val="es-ES"/>
              </w:rPr>
              <w:t>7ª</w:t>
            </w:r>
            <w:r w:rsidRPr="00D2027A">
              <w:rPr>
                <w:rFonts w:asciiTheme="majorBidi" w:hAnsiTheme="majorBidi" w:cstheme="majorBidi"/>
                <w:bCs/>
                <w:szCs w:val="24"/>
                <w:vertAlign w:val="superscript"/>
                <w:lang w:val="es-ES"/>
              </w:rPr>
              <w:t xml:space="preserve"> </w:t>
            </w:r>
            <w:r w:rsidRPr="00D2027A">
              <w:rPr>
                <w:rFonts w:asciiTheme="majorBidi" w:hAnsiTheme="majorBidi" w:cstheme="majorBidi"/>
                <w:bCs/>
                <w:szCs w:val="24"/>
                <w:lang w:val="es-ES"/>
              </w:rPr>
              <w:t>Plenaria</w:t>
            </w:r>
            <w:r w:rsidR="002D0088">
              <w:rPr>
                <w:rFonts w:asciiTheme="majorBidi" w:hAnsiTheme="majorBidi" w:cstheme="majorBidi"/>
                <w:bCs/>
                <w:szCs w:val="24"/>
                <w:lang w:val="es-ES"/>
              </w:rPr>
              <w:br/>
            </w:r>
            <w:r w:rsidRPr="00A864C4">
              <w:rPr>
                <w:lang w:val="es-ES"/>
              </w:rPr>
              <w:t>Doc</w:t>
            </w:r>
            <w:r w:rsidRPr="00D2027A">
              <w:rPr>
                <w:rFonts w:asciiTheme="majorBidi" w:hAnsiTheme="majorBidi" w:cstheme="majorBidi"/>
                <w:bCs/>
                <w:szCs w:val="24"/>
                <w:lang w:val="es-ES"/>
              </w:rPr>
              <w:t xml:space="preserve">. </w:t>
            </w:r>
            <w:hyperlink r:id="rId222" w:history="1">
              <w:r w:rsidRPr="00D2027A">
                <w:rPr>
                  <w:rStyle w:val="Hyperlink"/>
                  <w:rFonts w:asciiTheme="majorBidi" w:hAnsiTheme="majorBidi" w:cstheme="majorBidi"/>
                  <w:bCs/>
                  <w:szCs w:val="24"/>
                  <w:lang w:val="es-ES"/>
                </w:rPr>
                <w:t>CMR19/568</w:t>
              </w:r>
            </w:hyperlink>
            <w:r w:rsidRPr="00D2027A">
              <w:rPr>
                <w:rFonts w:asciiTheme="majorBidi" w:hAnsiTheme="majorBidi" w:cstheme="majorBidi"/>
                <w:bCs/>
                <w:szCs w:val="24"/>
                <w:lang w:val="es-ES"/>
              </w:rPr>
              <w:t xml:space="preserve"> </w:t>
            </w:r>
          </w:p>
          <w:p w14:paraId="68BD601A" w14:textId="469E7AB6" w:rsidR="00967792" w:rsidRPr="00D2027A" w:rsidRDefault="00967792" w:rsidP="00A864C4">
            <w:pPr>
              <w:pStyle w:val="Tabletext"/>
              <w:rPr>
                <w:rFonts w:asciiTheme="majorBidi" w:hAnsiTheme="majorBidi" w:cstheme="majorBidi"/>
                <w:bCs/>
                <w:szCs w:val="24"/>
                <w:lang w:val="es-ES"/>
              </w:rPr>
            </w:pPr>
            <w:r w:rsidRPr="00A864C4">
              <w:rPr>
                <w:lang w:val="es-ES"/>
              </w:rPr>
              <w:t>Aprobación</w:t>
            </w:r>
            <w:r>
              <w:rPr>
                <w:rFonts w:asciiTheme="majorBidi" w:hAnsiTheme="majorBidi" w:cstheme="majorBidi"/>
                <w:bCs/>
                <w:szCs w:val="24"/>
                <w:lang w:val="es-ES"/>
              </w:rPr>
              <w:t xml:space="preserve"> del Documento</w:t>
            </w:r>
            <w:r w:rsidRPr="00D2027A">
              <w:rPr>
                <w:rFonts w:asciiTheme="majorBidi" w:hAnsiTheme="majorBidi" w:cstheme="majorBidi"/>
                <w:bCs/>
                <w:szCs w:val="24"/>
                <w:lang w:val="es-ES"/>
              </w:rPr>
              <w:t xml:space="preserve"> </w:t>
            </w:r>
            <w:hyperlink r:id="rId223" w:history="1">
              <w:r w:rsidRPr="00D2027A">
                <w:rPr>
                  <w:rStyle w:val="Hyperlink"/>
                  <w:rFonts w:asciiTheme="majorBidi" w:hAnsiTheme="majorBidi" w:cstheme="majorBidi"/>
                  <w:bCs/>
                  <w:szCs w:val="24"/>
                  <w:lang w:val="es-ES"/>
                </w:rPr>
                <w:t>CMR19/303</w:t>
              </w:r>
            </w:hyperlink>
          </w:p>
        </w:tc>
        <w:tc>
          <w:tcPr>
            <w:tcW w:w="2312" w:type="pct"/>
          </w:tcPr>
          <w:p w14:paraId="660CF70F" w14:textId="77777777" w:rsidR="00967792" w:rsidRPr="00A864C4" w:rsidRDefault="00967792" w:rsidP="00B53355">
            <w:pPr>
              <w:spacing w:before="40" w:after="40"/>
              <w:rPr>
                <w:sz w:val="22"/>
                <w:lang w:val="es-ES"/>
              </w:rPr>
            </w:pPr>
            <w:r w:rsidRPr="00A864C4">
              <w:rPr>
                <w:sz w:val="22"/>
                <w:lang w:val="es-ES"/>
              </w:rPr>
              <w:t>4.1</w:t>
            </w:r>
            <w:r w:rsidRPr="00A864C4">
              <w:rPr>
                <w:sz w:val="22"/>
                <w:lang w:val="es-ES"/>
              </w:rPr>
              <w:tab/>
              <w:t xml:space="preserve">El </w:t>
            </w:r>
            <w:r w:rsidRPr="00A864C4">
              <w:rPr>
                <w:b/>
                <w:bCs/>
                <w:sz w:val="22"/>
                <w:lang w:val="es-ES"/>
              </w:rPr>
              <w:t>Presidente de la Comisión 5</w:t>
            </w:r>
            <w:r w:rsidRPr="00A864C4">
              <w:rPr>
                <w:sz w:val="22"/>
                <w:lang w:val="es-ES"/>
              </w:rPr>
              <w:t xml:space="preserve"> presenta el Documento 303, que contiene el segundo informe de la Comisión a la Plenaria y recoge las conclusiones de la Comisión sobre el punto 1.4 del orden del día y la aplicación del Anexo 7 revisado al Apéndice </w:t>
            </w:r>
            <w:r w:rsidRPr="00F93165">
              <w:rPr>
                <w:b/>
                <w:bCs/>
                <w:sz w:val="22"/>
                <w:lang w:val="es-ES"/>
              </w:rPr>
              <w:t>30</w:t>
            </w:r>
            <w:r w:rsidRPr="00A864C4">
              <w:rPr>
                <w:sz w:val="22"/>
                <w:lang w:val="es-ES"/>
              </w:rPr>
              <w:t xml:space="preserve"> y sus correspondientes Resoluciones. Se propone que el siguiente texto, que figura en el Documento 303 y enmendado para incorporar la numeración de ciertas Resoluciones contenidas en el mismo, se apruebe y se incluya en las actas de la reunión como decisión de la conferencia:</w:t>
            </w:r>
          </w:p>
          <w:p w14:paraId="1A6EE081" w14:textId="77777777" w:rsidR="00967792" w:rsidRPr="00A864C4" w:rsidRDefault="00967792" w:rsidP="00B53355">
            <w:pPr>
              <w:spacing w:before="40" w:after="40"/>
              <w:rPr>
                <w:b/>
                <w:sz w:val="22"/>
                <w:lang w:val="es-ES"/>
              </w:rPr>
            </w:pPr>
            <w:r w:rsidRPr="00A864C4">
              <w:rPr>
                <w:b/>
                <w:sz w:val="22"/>
                <w:lang w:val="es-ES"/>
              </w:rPr>
              <w:t>«Instrucciones a la Oficina de Radiocomunicaciones en aplicación del Anexo 7 revisado al Apéndice 30 del RR y las Resoluciones conexas</w:t>
            </w:r>
          </w:p>
          <w:p w14:paraId="2AA7777A" w14:textId="77777777" w:rsidR="00967792" w:rsidRPr="00A864C4" w:rsidRDefault="00967792" w:rsidP="00B53355">
            <w:pPr>
              <w:spacing w:before="40" w:after="40"/>
              <w:rPr>
                <w:b/>
                <w:bCs/>
                <w:sz w:val="22"/>
                <w:lang w:val="es-ES"/>
              </w:rPr>
            </w:pPr>
            <w:r w:rsidRPr="00A864C4">
              <w:rPr>
                <w:b/>
                <w:bCs/>
                <w:sz w:val="22"/>
                <w:lang w:val="es-ES"/>
              </w:rPr>
              <w:t>1</w:t>
            </w:r>
            <w:r w:rsidRPr="00A864C4">
              <w:rPr>
                <w:b/>
                <w:bCs/>
                <w:sz w:val="22"/>
                <w:lang w:val="es-ES"/>
              </w:rPr>
              <w:tab/>
              <w:t>Aplicación de las restricciones orbitales revisadas aplicables a los satélites de radiodifusión que prestan servicio en una zona de la Región 1 utilizando una frecuencia en la banda 11,7-12,2 GHz</w:t>
            </w:r>
          </w:p>
          <w:p w14:paraId="759F4927" w14:textId="3ECE7E66" w:rsidR="00967792" w:rsidRPr="00A864C4" w:rsidRDefault="00967792" w:rsidP="00B53355">
            <w:pPr>
              <w:spacing w:before="40" w:after="40"/>
              <w:rPr>
                <w:sz w:val="22"/>
                <w:lang w:val="es-ES"/>
              </w:rPr>
            </w:pPr>
            <w:r w:rsidRPr="00A864C4">
              <w:rPr>
                <w:sz w:val="22"/>
                <w:lang w:val="es-ES"/>
              </w:rPr>
              <w:lastRenderedPageBreak/>
              <w:t xml:space="preserve">Cuando, con arreglo al Artículo 4 del Apéndice </w:t>
            </w:r>
            <w:r w:rsidRPr="00A864C4">
              <w:rPr>
                <w:b/>
                <w:bCs/>
                <w:sz w:val="22"/>
                <w:lang w:val="es-ES"/>
              </w:rPr>
              <w:t>30</w:t>
            </w:r>
            <w:r w:rsidRPr="00A864C4">
              <w:rPr>
                <w:sz w:val="22"/>
                <w:lang w:val="es-ES"/>
              </w:rPr>
              <w:t xml:space="preserve"> del RR, una administración de las Regiones 1 y 3 presente a la Oficina una nueva red de satélites con asignaciones de frecuencias en la banda 11,7-12,2 GHz, que preste servicio en una zona de la Región 1 desde el oeste y ocupando una posición orbital nominal más al oeste de 37,2° W, las asignaciones de frecuencias de dicha red de satélites se considerarán admisibles únicamente si una porción de tierra situada en la parte occidental de la Región 1 determinada por la aplicación informática pertinente de la Oficina de Radiocomunicaciones (a excepción de cualquier territorio que tenga una categoría especial (por ejemplo, la Antártida)) es visible desde la posición orbital nominal de dicha red de satélites (es decir, el ángulo de elevación es superior a 5 grados). De lo contrario, la Oficina devolverá dichas asignaciones a la administración notificante.</w:t>
            </w:r>
          </w:p>
          <w:p w14:paraId="7AC64218" w14:textId="77777777" w:rsidR="00967792" w:rsidRPr="00A864C4" w:rsidRDefault="00967792" w:rsidP="00B53355">
            <w:pPr>
              <w:spacing w:before="40" w:after="40"/>
              <w:rPr>
                <w:b/>
                <w:bCs/>
                <w:sz w:val="22"/>
                <w:lang w:val="es-ES"/>
              </w:rPr>
            </w:pPr>
            <w:r w:rsidRPr="00A864C4">
              <w:rPr>
                <w:b/>
                <w:bCs/>
                <w:sz w:val="22"/>
                <w:lang w:val="es-ES"/>
              </w:rPr>
              <w:t>2</w:t>
            </w:r>
            <w:r w:rsidRPr="00A864C4">
              <w:rPr>
                <w:b/>
                <w:bCs/>
                <w:sz w:val="22"/>
                <w:lang w:val="es-ES"/>
              </w:rPr>
              <w:tab/>
              <w:t>Aplicación de las restricciones orbitales revisadas aplicables a los satélites de radiodifusión que prestan servicio en una zona de la Región 2 utilizando una frecuencia en la banda 12,2-12,7 GHz</w:t>
            </w:r>
          </w:p>
          <w:p w14:paraId="22E28656" w14:textId="12D3E5E6" w:rsidR="00967792" w:rsidRPr="00A864C4" w:rsidRDefault="00967792" w:rsidP="00B53355">
            <w:pPr>
              <w:spacing w:before="40" w:after="40"/>
              <w:rPr>
                <w:sz w:val="22"/>
                <w:lang w:val="es-ES"/>
              </w:rPr>
            </w:pPr>
            <w:r w:rsidRPr="00A864C4">
              <w:rPr>
                <w:sz w:val="22"/>
                <w:lang w:val="es-ES"/>
              </w:rPr>
              <w:t xml:space="preserve">Cuando, con arreglo al Artículo 4 del Apéndice </w:t>
            </w:r>
            <w:r w:rsidRPr="00A864C4">
              <w:rPr>
                <w:b/>
                <w:bCs/>
                <w:sz w:val="22"/>
                <w:lang w:val="es-ES"/>
              </w:rPr>
              <w:t>30</w:t>
            </w:r>
            <w:r w:rsidRPr="00A864C4">
              <w:rPr>
                <w:sz w:val="22"/>
                <w:lang w:val="es-ES"/>
              </w:rPr>
              <w:t xml:space="preserve"> del RR, una administración de la Región 2 presente a la Oficina una nueva red de satélites con asignaciones de frecuencias en la banda 12,2-12,5 GHz (resp. 12,5-12,7 GHz), que preste servicio en una zona de la Región 2 desde el este y ocupando una posición orbital nominal más al este de 44° W (resp. 54° W), las asignaciones de frecuencias de dicha red de satélites se considerarán admisibles únicamente si una porción de tierra situada en la parte oriental de la Región 2 determinada por la aplicación informática pertinente de la Oficina de Radiocomunicaciones (a excepción de cualquier territorio que tenga una categoría especial (por ejemplo, la Antártida)) es visible desde la posición orbital nominal de dicha red de satélites (es decir, el ángulo de elevación es superior a 5 grados). De lo contrario, la Oficina devolverá dichas asignaciones a la administración notificante.</w:t>
            </w:r>
          </w:p>
          <w:p w14:paraId="67484F35" w14:textId="77777777" w:rsidR="00967792" w:rsidRPr="00A864C4" w:rsidRDefault="00967792" w:rsidP="00F65386">
            <w:pPr>
              <w:keepNext/>
              <w:keepLines/>
              <w:spacing w:before="40" w:after="40"/>
              <w:rPr>
                <w:b/>
                <w:bCs/>
                <w:sz w:val="22"/>
                <w:lang w:val="es-ES"/>
              </w:rPr>
            </w:pPr>
            <w:r w:rsidRPr="00A864C4">
              <w:rPr>
                <w:b/>
                <w:bCs/>
                <w:sz w:val="22"/>
                <w:lang w:val="es-ES"/>
              </w:rPr>
              <w:lastRenderedPageBreak/>
              <w:t>3</w:t>
            </w:r>
            <w:r w:rsidRPr="00A864C4">
              <w:rPr>
                <w:b/>
                <w:bCs/>
                <w:sz w:val="22"/>
                <w:lang w:val="es-ES"/>
              </w:rPr>
              <w:tab/>
              <w:t>Aplicación de la Resolución COM5/2 (CMR</w:t>
            </w:r>
            <w:r w:rsidRPr="00A864C4">
              <w:rPr>
                <w:b/>
                <w:bCs/>
                <w:sz w:val="22"/>
                <w:lang w:val="es-ES"/>
              </w:rPr>
              <w:noBreakHyphen/>
              <w:t>19)</w:t>
            </w:r>
          </w:p>
          <w:p w14:paraId="5C138669" w14:textId="3DAB4AD0" w:rsidR="00967792" w:rsidRPr="00A864C4" w:rsidRDefault="00967792" w:rsidP="00B53355">
            <w:pPr>
              <w:spacing w:before="40" w:after="40"/>
              <w:rPr>
                <w:sz w:val="22"/>
                <w:lang w:val="es-ES"/>
              </w:rPr>
            </w:pPr>
            <w:r w:rsidRPr="00A864C4">
              <w:rPr>
                <w:sz w:val="22"/>
                <w:lang w:val="es-ES"/>
              </w:rPr>
              <w:t xml:space="preserve">El </w:t>
            </w:r>
            <w:r w:rsidRPr="00A864C4">
              <w:rPr>
                <w:i/>
                <w:iCs/>
                <w:sz w:val="22"/>
                <w:lang w:val="es-ES"/>
              </w:rPr>
              <w:t>resuelve</w:t>
            </w:r>
            <w:r w:rsidRPr="00A864C4">
              <w:rPr>
                <w:sz w:val="22"/>
                <w:lang w:val="es-ES"/>
              </w:rPr>
              <w:t xml:space="preserve"> 2 de la Resolución </w:t>
            </w:r>
            <w:r w:rsidRPr="00A864C4">
              <w:rPr>
                <w:b/>
                <w:bCs/>
                <w:sz w:val="22"/>
                <w:lang w:val="es-ES"/>
              </w:rPr>
              <w:t>COM5/2 (CMR-19)</w:t>
            </w:r>
            <w:r w:rsidRPr="00A864C4">
              <w:rPr>
                <w:sz w:val="22"/>
                <w:lang w:val="es-ES"/>
              </w:rPr>
              <w:t xml:space="preserve"> indica que la identificación de asignaciones de frecuencias de ciertas redes asociadas con diámetros de antena de estación terrena de 40 cm y de 45 cm se basan únicamente en el EPM y en una separación orbital mínima inferior a 9 grados. Este </w:t>
            </w:r>
            <w:r w:rsidRPr="00A864C4">
              <w:rPr>
                <w:i/>
                <w:iCs/>
                <w:sz w:val="22"/>
                <w:lang w:val="es-ES"/>
              </w:rPr>
              <w:t>resuelve</w:t>
            </w:r>
            <w:r w:rsidRPr="00A864C4">
              <w:rPr>
                <w:sz w:val="22"/>
                <w:lang w:val="es-ES"/>
              </w:rPr>
              <w:t xml:space="preserve"> sólo tiene aplicación en la banda de frecuencias 11,7-12,2 GHz. La red de satélites HISPASAT</w:t>
            </w:r>
            <w:r w:rsidR="00F65386">
              <w:rPr>
                <w:sz w:val="22"/>
                <w:lang w:val="es-ES"/>
              </w:rPr>
              <w:noBreakHyphen/>
            </w:r>
            <w:r w:rsidRPr="00A864C4">
              <w:rPr>
                <w:sz w:val="22"/>
                <w:lang w:val="es-ES"/>
              </w:rPr>
              <w:t xml:space="preserve">37A incluida en el Anexo 1 a esta Resolución contiene asignaciones de frecuencias que se solapan en parte con la banda de frecuencias 11,7-12,2 GHz. Para la protección de estas asignaciones frente a redes de satélites no planificadas, se tienen que aplicar los criterios incluidos en la Resolución </w:t>
            </w:r>
            <w:r w:rsidRPr="00A864C4">
              <w:rPr>
                <w:b/>
                <w:bCs/>
                <w:sz w:val="22"/>
                <w:lang w:val="es-ES"/>
              </w:rPr>
              <w:t>COM5/4 (CMR-19)</w:t>
            </w:r>
            <w:r w:rsidRPr="00A864C4">
              <w:rPr>
                <w:sz w:val="22"/>
                <w:lang w:val="es-ES"/>
              </w:rPr>
              <w:t xml:space="preserve"> sin embargo, para la protección de esas asignaciones ante nuevas notificaciones con arreglo al Artículo 4 que están sujetas a la Resolución </w:t>
            </w:r>
            <w:r w:rsidRPr="00A864C4">
              <w:rPr>
                <w:b/>
                <w:bCs/>
                <w:sz w:val="22"/>
                <w:lang w:val="es-ES"/>
              </w:rPr>
              <w:t>COM5/2 (CMR-19)</w:t>
            </w:r>
            <w:r w:rsidRPr="00A864C4">
              <w:rPr>
                <w:sz w:val="22"/>
                <w:lang w:val="es-ES"/>
              </w:rPr>
              <w:t xml:space="preserve">, se tienen que utilizar los criterios incluidos en el </w:t>
            </w:r>
            <w:r w:rsidRPr="00A864C4">
              <w:rPr>
                <w:i/>
                <w:iCs/>
                <w:sz w:val="22"/>
                <w:lang w:val="es-ES"/>
              </w:rPr>
              <w:t>resuelve</w:t>
            </w:r>
            <w:r w:rsidR="00F65386">
              <w:rPr>
                <w:sz w:val="22"/>
                <w:lang w:val="es-ES"/>
              </w:rPr>
              <w:t> </w:t>
            </w:r>
            <w:r w:rsidRPr="00A864C4">
              <w:rPr>
                <w:sz w:val="22"/>
                <w:lang w:val="es-ES"/>
              </w:rPr>
              <w:t>2 de esta Resolución.</w:t>
            </w:r>
          </w:p>
          <w:p w14:paraId="74184208" w14:textId="77777777" w:rsidR="00967792" w:rsidRPr="00A864C4" w:rsidRDefault="00967792" w:rsidP="00B53355">
            <w:pPr>
              <w:spacing w:before="40" w:after="40"/>
              <w:rPr>
                <w:b/>
                <w:bCs/>
                <w:sz w:val="22"/>
                <w:lang w:val="es-ES"/>
              </w:rPr>
            </w:pPr>
            <w:r w:rsidRPr="00A864C4">
              <w:rPr>
                <w:b/>
                <w:bCs/>
                <w:sz w:val="22"/>
                <w:lang w:val="es-ES"/>
              </w:rPr>
              <w:t>4</w:t>
            </w:r>
            <w:r w:rsidRPr="00A864C4">
              <w:rPr>
                <w:b/>
                <w:bCs/>
                <w:sz w:val="22"/>
                <w:lang w:val="es-ES"/>
              </w:rPr>
              <w:tab/>
              <w:t>Aplicación de la nueva Resolución COM5/3 (CMR-19)</w:t>
            </w:r>
          </w:p>
          <w:p w14:paraId="61AA2F94" w14:textId="77777777" w:rsidR="00967792" w:rsidRPr="00A864C4" w:rsidRDefault="00967792" w:rsidP="00B53355">
            <w:pPr>
              <w:spacing w:before="40" w:after="40"/>
              <w:rPr>
                <w:b/>
                <w:bCs/>
                <w:sz w:val="22"/>
                <w:lang w:val="es-ES"/>
              </w:rPr>
            </w:pPr>
            <w:r w:rsidRPr="00A864C4">
              <w:rPr>
                <w:b/>
                <w:bCs/>
                <w:i/>
                <w:iCs/>
                <w:sz w:val="22"/>
                <w:lang w:val="es-ES"/>
              </w:rPr>
              <w:t>a)</w:t>
            </w:r>
            <w:r w:rsidRPr="00A864C4">
              <w:rPr>
                <w:b/>
                <w:bCs/>
                <w:i/>
                <w:iCs/>
                <w:sz w:val="22"/>
                <w:lang w:val="es-ES"/>
              </w:rPr>
              <w:tab/>
              <w:t>Resuelve</w:t>
            </w:r>
            <w:r w:rsidRPr="00A864C4">
              <w:rPr>
                <w:b/>
                <w:bCs/>
                <w:sz w:val="22"/>
                <w:lang w:val="es-ES"/>
              </w:rPr>
              <w:t xml:space="preserve"> 2 sobre la fecha de recepción de las notificaciones</w:t>
            </w:r>
          </w:p>
          <w:p w14:paraId="58F03893" w14:textId="1201EE0D" w:rsidR="00967792" w:rsidRPr="00A864C4" w:rsidRDefault="00967792" w:rsidP="00B53355">
            <w:pPr>
              <w:spacing w:before="40" w:after="40"/>
              <w:rPr>
                <w:sz w:val="22"/>
                <w:lang w:val="es-ES"/>
              </w:rPr>
            </w:pPr>
            <w:r w:rsidRPr="00A864C4">
              <w:rPr>
                <w:sz w:val="22"/>
                <w:lang w:val="es-ES"/>
              </w:rPr>
              <w:t xml:space="preserve">Las notificaciones a que se hace referencia en el </w:t>
            </w:r>
            <w:r w:rsidRPr="00A864C4">
              <w:rPr>
                <w:i/>
                <w:iCs/>
                <w:sz w:val="22"/>
                <w:lang w:val="es-ES"/>
              </w:rPr>
              <w:t>resuelve</w:t>
            </w:r>
            <w:r w:rsidRPr="00A864C4">
              <w:rPr>
                <w:sz w:val="22"/>
                <w:lang w:val="es-ES"/>
              </w:rPr>
              <w:t xml:space="preserve"> 2 tendrán la fecha común de recepción del 21 de mayo de 2020. La fecha oficial de recepción y la fecha de protección será el 21 de mayo de 2020 si las notificaciones están completas. Si las notificaciones no están completas y se recibe, no más tarde del 21 de mayo de 2020, una respuesta al telefax de la Oficina solicitando la información que falta, la fecha oficial de recepción y la fecha de protección será el 21 de mayo de 2020. Si la respuesta al telefax de la Oficina se recibe con posterioridad al 21 de mayo de 2020, la fecha de protección será la misma que la fecha oficial de recepción establecida con arreglo a la Regla de Procedimiento relativa a la admisibilidad de las notificaciones. La fecha de protección establecida se utilizará para el examen de la Oficina en virtud de las disposiciones pertinentes de los Apéndices </w:t>
            </w:r>
            <w:r w:rsidRPr="00A864C4">
              <w:rPr>
                <w:b/>
                <w:bCs/>
                <w:sz w:val="22"/>
                <w:lang w:val="es-ES"/>
              </w:rPr>
              <w:t>30</w:t>
            </w:r>
            <w:r w:rsidRPr="00A864C4">
              <w:rPr>
                <w:sz w:val="22"/>
                <w:lang w:val="es-ES"/>
              </w:rPr>
              <w:t xml:space="preserve"> y </w:t>
            </w:r>
            <w:r w:rsidRPr="00A864C4">
              <w:rPr>
                <w:b/>
                <w:bCs/>
                <w:sz w:val="22"/>
                <w:lang w:val="es-ES"/>
              </w:rPr>
              <w:t>30A</w:t>
            </w:r>
            <w:r w:rsidRPr="00A864C4">
              <w:rPr>
                <w:sz w:val="22"/>
                <w:lang w:val="es-ES"/>
              </w:rPr>
              <w:t xml:space="preserve"> del RR. En el caso de las notificaciones con la misma fecha de recepción oficial, la Oficina las tendrá en cuenta en su examen técnico y reglamentario.</w:t>
            </w:r>
          </w:p>
          <w:p w14:paraId="12B74A41" w14:textId="77777777" w:rsidR="00967792" w:rsidRPr="00A864C4" w:rsidRDefault="00967792" w:rsidP="00F65386">
            <w:pPr>
              <w:keepNext/>
              <w:keepLines/>
              <w:spacing w:before="40" w:after="40"/>
              <w:rPr>
                <w:sz w:val="22"/>
                <w:lang w:val="es-ES"/>
              </w:rPr>
            </w:pPr>
            <w:r w:rsidRPr="00A864C4">
              <w:rPr>
                <w:b/>
                <w:bCs/>
                <w:i/>
                <w:iCs/>
                <w:sz w:val="22"/>
                <w:lang w:val="es-ES"/>
              </w:rPr>
              <w:t>b)</w:t>
            </w:r>
            <w:r w:rsidRPr="00A864C4">
              <w:rPr>
                <w:b/>
                <w:bCs/>
                <w:i/>
                <w:iCs/>
                <w:sz w:val="22"/>
                <w:lang w:val="es-ES"/>
              </w:rPr>
              <w:tab/>
              <w:t>Resuelve</w:t>
            </w:r>
            <w:r w:rsidRPr="00A864C4">
              <w:rPr>
                <w:b/>
                <w:bCs/>
                <w:sz w:val="22"/>
                <w:lang w:val="es-ES"/>
              </w:rPr>
              <w:t xml:space="preserve"> 3 sobre la fecha de recepción de las notificaciones</w:t>
            </w:r>
          </w:p>
          <w:p w14:paraId="1CA853D7" w14:textId="0F96EC0D" w:rsidR="00967792" w:rsidRPr="00A864C4" w:rsidRDefault="00967792" w:rsidP="00B53355">
            <w:pPr>
              <w:spacing w:before="40" w:after="40"/>
              <w:rPr>
                <w:sz w:val="22"/>
                <w:lang w:val="es-ES"/>
              </w:rPr>
            </w:pPr>
            <w:r w:rsidRPr="00A864C4">
              <w:rPr>
                <w:sz w:val="22"/>
                <w:lang w:val="es-ES"/>
              </w:rPr>
              <w:lastRenderedPageBreak/>
              <w:t xml:space="preserve">Las notificaciones a que se hace referencia en el </w:t>
            </w:r>
            <w:r w:rsidRPr="00A864C4">
              <w:rPr>
                <w:i/>
                <w:iCs/>
                <w:sz w:val="22"/>
                <w:lang w:val="es-ES"/>
              </w:rPr>
              <w:t>resuelve</w:t>
            </w:r>
            <w:r w:rsidRPr="00A864C4">
              <w:rPr>
                <w:sz w:val="22"/>
                <w:lang w:val="es-ES"/>
              </w:rPr>
              <w:t xml:space="preserve"> 3 (es decir, las notificaciones con arreglo al § 4.1.3 del Apéndice </w:t>
            </w:r>
            <w:r w:rsidRPr="00A864C4">
              <w:rPr>
                <w:b/>
                <w:bCs/>
                <w:sz w:val="22"/>
                <w:lang w:val="es-ES"/>
              </w:rPr>
              <w:t>30</w:t>
            </w:r>
            <w:r w:rsidRPr="00A864C4">
              <w:rPr>
                <w:sz w:val="22"/>
                <w:lang w:val="es-ES"/>
              </w:rPr>
              <w:t xml:space="preserve"> del RR en la banda de frecuencias 11,7-12,5 GHz y las asignaciones a enlaces de conexión en las bandas de frecuencias 14,5-14,8 GHz y 17,3-18,1 GHz del Apéndice </w:t>
            </w:r>
            <w:r w:rsidRPr="00A864C4">
              <w:rPr>
                <w:b/>
                <w:bCs/>
                <w:sz w:val="22"/>
                <w:lang w:val="es-ES"/>
              </w:rPr>
              <w:t>30A</w:t>
            </w:r>
            <w:r w:rsidRPr="00A864C4">
              <w:rPr>
                <w:sz w:val="22"/>
                <w:lang w:val="es-ES"/>
              </w:rPr>
              <w:t xml:space="preserve"> del RR) en una posición orbital de los arcos orbitales cuyas restricciones del Anexo 7 al Apéndice </w:t>
            </w:r>
            <w:r w:rsidRPr="00A864C4">
              <w:rPr>
                <w:b/>
                <w:bCs/>
                <w:sz w:val="22"/>
                <w:lang w:val="es-ES"/>
              </w:rPr>
              <w:t>30</w:t>
            </w:r>
            <w:r w:rsidRPr="00A864C4">
              <w:rPr>
                <w:sz w:val="22"/>
                <w:lang w:val="es-ES"/>
              </w:rPr>
              <w:t xml:space="preserve"> </w:t>
            </w:r>
            <w:r w:rsidRPr="00A864C4">
              <w:rPr>
                <w:b/>
                <w:bCs/>
                <w:sz w:val="22"/>
                <w:lang w:val="es-ES"/>
              </w:rPr>
              <w:t>(Rev.CMR</w:t>
            </w:r>
            <w:r w:rsidR="00F65386">
              <w:rPr>
                <w:b/>
                <w:bCs/>
                <w:sz w:val="22"/>
                <w:lang w:val="es-ES"/>
              </w:rPr>
              <w:noBreakHyphen/>
            </w:r>
            <w:r w:rsidRPr="00A864C4">
              <w:rPr>
                <w:b/>
                <w:bCs/>
                <w:sz w:val="22"/>
                <w:lang w:val="es-ES"/>
              </w:rPr>
              <w:t>15)</w:t>
            </w:r>
            <w:r w:rsidRPr="00A864C4">
              <w:rPr>
                <w:sz w:val="22"/>
                <w:lang w:val="es-ES"/>
              </w:rPr>
              <w:t xml:space="preserve"> del RR haya suprimido la CMR-19 y no reúnan los requisitos especificados en el § 1 del Adjunto a dicha Resolución, tendrá la fecha común de recepción del 22 de mayo de 2020. En el caso de esas notificaciones, la fecha de protección será la misma que la fecha oficial de recepción establecida con arreglo a la Regla de Procedimiento relativa a la admisibilidad de las notificaciones. La fecha de protección establecida se utilizará para el examen de la Oficina en virtud de las disposiciones pertinentes de los Apéndices </w:t>
            </w:r>
            <w:r w:rsidRPr="00A864C4">
              <w:rPr>
                <w:b/>
                <w:bCs/>
                <w:sz w:val="22"/>
                <w:lang w:val="es-ES"/>
              </w:rPr>
              <w:t>30</w:t>
            </w:r>
            <w:r w:rsidRPr="00A864C4">
              <w:rPr>
                <w:sz w:val="22"/>
                <w:lang w:val="es-ES"/>
              </w:rPr>
              <w:t xml:space="preserve"> y </w:t>
            </w:r>
            <w:r w:rsidRPr="00A864C4">
              <w:rPr>
                <w:b/>
                <w:bCs/>
                <w:sz w:val="22"/>
                <w:lang w:val="es-ES"/>
              </w:rPr>
              <w:t>30A</w:t>
            </w:r>
            <w:r w:rsidRPr="00A864C4">
              <w:rPr>
                <w:sz w:val="22"/>
                <w:lang w:val="es-ES"/>
              </w:rPr>
              <w:t xml:space="preserve"> del RR. En el caso de las notificaciones con la misma fecha de recepción oficial, la Oficina las tendrá en cuenta en su examen técnico y reglamentario.</w:t>
            </w:r>
          </w:p>
          <w:p w14:paraId="00A529BD" w14:textId="77777777" w:rsidR="00967792" w:rsidRPr="00A864C4" w:rsidRDefault="00967792" w:rsidP="00B53355">
            <w:pPr>
              <w:spacing w:before="40" w:after="40"/>
              <w:rPr>
                <w:b/>
                <w:bCs/>
                <w:sz w:val="22"/>
                <w:lang w:val="es-ES"/>
              </w:rPr>
            </w:pPr>
            <w:r w:rsidRPr="00A864C4">
              <w:rPr>
                <w:b/>
                <w:bCs/>
                <w:i/>
                <w:iCs/>
                <w:sz w:val="22"/>
                <w:lang w:val="es-ES"/>
              </w:rPr>
              <w:t>c)</w:t>
            </w:r>
            <w:r w:rsidRPr="00A864C4">
              <w:rPr>
                <w:b/>
                <w:bCs/>
                <w:sz w:val="22"/>
                <w:lang w:val="es-ES"/>
              </w:rPr>
              <w:tab/>
              <w:t>Notificaciones con arreglo al § 4.1.12 del Apéndice 30/30A del RR de las redes de satélites que aplican dicha Resolución</w:t>
            </w:r>
          </w:p>
          <w:p w14:paraId="5B3EE7D6" w14:textId="32FDB0F6" w:rsidR="00967792" w:rsidRPr="00A864C4" w:rsidRDefault="00967792" w:rsidP="00B53355">
            <w:pPr>
              <w:spacing w:before="40" w:after="40"/>
              <w:rPr>
                <w:sz w:val="22"/>
                <w:lang w:val="es-ES"/>
              </w:rPr>
            </w:pPr>
            <w:r w:rsidRPr="00A864C4">
              <w:rPr>
                <w:sz w:val="22"/>
                <w:lang w:val="es-ES"/>
              </w:rPr>
              <w:t>Durante la coordinación de frecuencias, la administración notificante puede modificar el haz de elíptico a conformado. Por lo tanto, la Oficina aceptará las notificaciones de redes de satélites que apliquen dicha Resolución y contengan un haz conformado con arreglo al § 4.1.12 de los Apéndices </w:t>
            </w:r>
            <w:r w:rsidRPr="00A864C4">
              <w:rPr>
                <w:b/>
                <w:bCs/>
                <w:sz w:val="22"/>
                <w:lang w:val="es-ES"/>
              </w:rPr>
              <w:t>30</w:t>
            </w:r>
            <w:r w:rsidRPr="00A864C4">
              <w:rPr>
                <w:bCs/>
                <w:sz w:val="22"/>
                <w:lang w:val="es-ES"/>
              </w:rPr>
              <w:t xml:space="preserve"> y </w:t>
            </w:r>
            <w:r w:rsidRPr="00A864C4">
              <w:rPr>
                <w:b/>
                <w:bCs/>
                <w:sz w:val="22"/>
                <w:lang w:val="es-ES"/>
              </w:rPr>
              <w:t>30A</w:t>
            </w:r>
            <w:r w:rsidRPr="00A864C4">
              <w:rPr>
                <w:sz w:val="22"/>
                <w:lang w:val="es-ES"/>
              </w:rPr>
              <w:t xml:space="preserve"> del RR, si las características de la notificación en virtud del § 4.1.12 se encuentran dentro de las características globales de la notificación con arreglo al § 4.1.3.</w:t>
            </w:r>
          </w:p>
          <w:p w14:paraId="1750F515" w14:textId="77777777" w:rsidR="00967792" w:rsidRPr="00A864C4" w:rsidRDefault="00967792" w:rsidP="00B53355">
            <w:pPr>
              <w:spacing w:before="40" w:after="40"/>
              <w:rPr>
                <w:b/>
                <w:bCs/>
                <w:sz w:val="22"/>
                <w:lang w:val="es-ES"/>
              </w:rPr>
            </w:pPr>
            <w:r w:rsidRPr="00A864C4">
              <w:rPr>
                <w:b/>
                <w:bCs/>
                <w:sz w:val="22"/>
                <w:lang w:val="es-ES"/>
              </w:rPr>
              <w:t>5</w:t>
            </w:r>
            <w:r w:rsidRPr="00A864C4">
              <w:rPr>
                <w:b/>
                <w:bCs/>
                <w:sz w:val="22"/>
                <w:lang w:val="es-ES"/>
              </w:rPr>
              <w:tab/>
              <w:t xml:space="preserve">Cálculo de la separación orbital geocéntrica mínima mencionada en los </w:t>
            </w:r>
            <w:r w:rsidRPr="00A864C4">
              <w:rPr>
                <w:b/>
                <w:bCs/>
                <w:i/>
                <w:iCs/>
                <w:sz w:val="22"/>
                <w:lang w:val="es-ES"/>
              </w:rPr>
              <w:t>resuelve</w:t>
            </w:r>
            <w:r w:rsidRPr="00A864C4">
              <w:rPr>
                <w:b/>
                <w:bCs/>
                <w:sz w:val="22"/>
                <w:lang w:val="es-ES"/>
              </w:rPr>
              <w:t> 1 y 2 de la Resolución COM5/4 (CMR</w:t>
            </w:r>
            <w:r w:rsidRPr="00A864C4">
              <w:rPr>
                <w:b/>
                <w:bCs/>
                <w:sz w:val="22"/>
                <w:lang w:val="es-ES"/>
              </w:rPr>
              <w:noBreakHyphen/>
              <w:t>19)</w:t>
            </w:r>
          </w:p>
          <w:p w14:paraId="17D6DAA2" w14:textId="497AA495" w:rsidR="00967792" w:rsidRPr="00A864C4" w:rsidRDefault="00967792" w:rsidP="00B53355">
            <w:pPr>
              <w:spacing w:before="40" w:after="40"/>
              <w:rPr>
                <w:sz w:val="22"/>
                <w:lang w:val="es-ES"/>
              </w:rPr>
            </w:pPr>
            <w:r w:rsidRPr="00A864C4">
              <w:rPr>
                <w:sz w:val="22"/>
                <w:lang w:val="es-ES"/>
              </w:rPr>
              <w:t>Al calcular la separación orbital geocéntrica mínima entre las estaciones espaciales deseada e interferente, la Oficina tendrá en cuenta las precisiones para mantener la estación en el sentido Este-Oeste de las estaciones espaciales del SFS y del SRS de modo que ambas estaciones espaciales se encuentren lo más próximas posible.</w:t>
            </w:r>
          </w:p>
          <w:p w14:paraId="288E2E94" w14:textId="77777777" w:rsidR="00967792" w:rsidRPr="00A864C4" w:rsidRDefault="00967792" w:rsidP="00B53355">
            <w:pPr>
              <w:spacing w:before="40" w:after="40"/>
              <w:rPr>
                <w:sz w:val="22"/>
                <w:lang w:val="es-ES"/>
              </w:rPr>
            </w:pPr>
            <w:r w:rsidRPr="00A864C4">
              <w:rPr>
                <w:b/>
                <w:bCs/>
                <w:sz w:val="22"/>
                <w:lang w:val="es-ES"/>
              </w:rPr>
              <w:lastRenderedPageBreak/>
              <w:t>6</w:t>
            </w:r>
            <w:r w:rsidRPr="00A864C4">
              <w:rPr>
                <w:sz w:val="22"/>
                <w:lang w:val="es-ES"/>
              </w:rPr>
              <w:tab/>
              <w:t xml:space="preserve">En relación con el caso específico de la Administración de Sudán del Sur, que no dispone actualmente de ninguna asignación de frecuencias en los Planes de los Apéndices </w:t>
            </w:r>
            <w:r w:rsidRPr="00A864C4">
              <w:rPr>
                <w:b/>
                <w:bCs/>
                <w:sz w:val="22"/>
                <w:lang w:val="es-ES"/>
              </w:rPr>
              <w:t>30 y 30A</w:t>
            </w:r>
            <w:r w:rsidRPr="00A864C4">
              <w:rPr>
                <w:sz w:val="22"/>
                <w:lang w:val="es-ES"/>
              </w:rPr>
              <w:t xml:space="preserve"> del RR, la CMR-19 decidió que la Administración de Sudán del Sur puede aplicar la Resolución </w:t>
            </w:r>
            <w:r w:rsidRPr="00A864C4">
              <w:rPr>
                <w:b/>
                <w:bCs/>
                <w:sz w:val="22"/>
                <w:lang w:val="es-ES"/>
              </w:rPr>
              <w:t>COM5/3 (CMR</w:t>
            </w:r>
            <w:r w:rsidRPr="00A864C4">
              <w:rPr>
                <w:b/>
                <w:bCs/>
                <w:sz w:val="22"/>
                <w:lang w:val="es-ES"/>
              </w:rPr>
              <w:noBreakHyphen/>
              <w:t>19)</w:t>
            </w:r>
            <w:r w:rsidRPr="00A864C4">
              <w:rPr>
                <w:sz w:val="22"/>
                <w:lang w:val="es-ES"/>
              </w:rPr>
              <w:t xml:space="preserve"> y encargó a la Oficina de Radiocomunicaciones aceptar tales notificaciones de la Administración de Sudán del Sur.»</w:t>
            </w:r>
          </w:p>
          <w:p w14:paraId="719DA04E" w14:textId="77777777" w:rsidR="00967792" w:rsidRPr="00A864C4" w:rsidRDefault="00967792" w:rsidP="00B53355">
            <w:pPr>
              <w:spacing w:before="40" w:after="40"/>
              <w:rPr>
                <w:sz w:val="22"/>
                <w:lang w:val="es-ES"/>
              </w:rPr>
            </w:pPr>
            <w:r w:rsidRPr="00A864C4">
              <w:rPr>
                <w:sz w:val="22"/>
                <w:lang w:val="es-ES"/>
              </w:rPr>
              <w:t>4.2</w:t>
            </w:r>
            <w:r w:rsidRPr="00A864C4">
              <w:rPr>
                <w:sz w:val="22"/>
                <w:lang w:val="es-ES"/>
              </w:rPr>
              <w:tab/>
            </w:r>
            <w:bookmarkStart w:id="66" w:name="lt_pId158"/>
            <w:r w:rsidRPr="00A864C4">
              <w:rPr>
                <w:sz w:val="22"/>
                <w:lang w:val="es-ES"/>
              </w:rPr>
              <w:t xml:space="preserve">Así se </w:t>
            </w:r>
            <w:r w:rsidRPr="00A864C4">
              <w:rPr>
                <w:b/>
                <w:bCs/>
                <w:sz w:val="22"/>
                <w:lang w:val="es-ES"/>
              </w:rPr>
              <w:t>acuerda</w:t>
            </w:r>
            <w:r w:rsidRPr="00A864C4">
              <w:rPr>
                <w:sz w:val="22"/>
                <w:lang w:val="es-ES"/>
              </w:rPr>
              <w:t>.</w:t>
            </w:r>
            <w:bookmarkEnd w:id="66"/>
          </w:p>
          <w:p w14:paraId="471BC78C" w14:textId="77777777" w:rsidR="00967792" w:rsidRPr="00A864C4" w:rsidRDefault="00967792" w:rsidP="00B53355">
            <w:pPr>
              <w:spacing w:before="40" w:after="40"/>
              <w:rPr>
                <w:sz w:val="22"/>
                <w:lang w:val="es-ES"/>
              </w:rPr>
            </w:pPr>
            <w:r w:rsidRPr="00A864C4">
              <w:rPr>
                <w:sz w:val="22"/>
                <w:lang w:val="es-ES"/>
              </w:rPr>
              <w:t>4.3</w:t>
            </w:r>
            <w:r w:rsidRPr="00A864C4">
              <w:rPr>
                <w:sz w:val="22"/>
                <w:lang w:val="es-ES"/>
              </w:rPr>
              <w:tab/>
            </w:r>
            <w:bookmarkStart w:id="67" w:name="lt_pId160"/>
            <w:r w:rsidRPr="00A864C4">
              <w:rPr>
                <w:sz w:val="22"/>
                <w:lang w:val="es-ES"/>
              </w:rPr>
              <w:t xml:space="preserve">Se </w:t>
            </w:r>
            <w:r w:rsidRPr="00A864C4">
              <w:rPr>
                <w:b/>
                <w:bCs/>
                <w:sz w:val="22"/>
                <w:lang w:val="es-ES"/>
              </w:rPr>
              <w:t>aprueba</w:t>
            </w:r>
            <w:r w:rsidRPr="00A864C4">
              <w:rPr>
                <w:sz w:val="22"/>
                <w:lang w:val="es-ES"/>
              </w:rPr>
              <w:t xml:space="preserve"> el Documento 303.</w:t>
            </w:r>
            <w:bookmarkEnd w:id="67"/>
          </w:p>
          <w:p w14:paraId="441CB9CF" w14:textId="073DF9B7" w:rsidR="00967792" w:rsidRPr="00A864C4" w:rsidRDefault="00967792" w:rsidP="00B53355">
            <w:pPr>
              <w:spacing w:before="40" w:after="40"/>
              <w:rPr>
                <w:sz w:val="22"/>
                <w:lang w:val="es-ES"/>
              </w:rPr>
            </w:pPr>
            <w:r w:rsidRPr="00A864C4">
              <w:rPr>
                <w:sz w:val="22"/>
                <w:lang w:val="es-ES"/>
              </w:rPr>
              <w:t>4.4</w:t>
            </w:r>
            <w:r w:rsidRPr="00A864C4">
              <w:rPr>
                <w:sz w:val="22"/>
                <w:lang w:val="es-ES"/>
              </w:rPr>
              <w:tab/>
              <w:t xml:space="preserve">El </w:t>
            </w:r>
            <w:r w:rsidRPr="00A864C4">
              <w:rPr>
                <w:b/>
                <w:bCs/>
                <w:sz w:val="22"/>
                <w:lang w:val="es-ES"/>
              </w:rPr>
              <w:t>delegado de Sudán del Sur</w:t>
            </w:r>
            <w:r w:rsidRPr="00A864C4">
              <w:rPr>
                <w:sz w:val="22"/>
                <w:lang w:val="es-ES"/>
              </w:rPr>
              <w:t xml:space="preserve"> agradece a la Plenaria la aprobación del Documento 303. Asimismo, expresa su gratitud y reconocimiento a la UIT, en particular a la Oficina de Radiocomunicaciones, y a todas las administraciones y entidades que han ayudado a su país a realizar progresos tan importantes desde la CMR-12.</w:t>
            </w:r>
          </w:p>
        </w:tc>
        <w:tc>
          <w:tcPr>
            <w:tcW w:w="1548" w:type="pct"/>
          </w:tcPr>
          <w:p w14:paraId="33BBEF7C" w14:textId="1183DA4B" w:rsidR="00967792" w:rsidRPr="007576BD" w:rsidDel="009440F5" w:rsidRDefault="00967792" w:rsidP="00B53355">
            <w:pPr>
              <w:pStyle w:val="Tabletext"/>
              <w:rPr>
                <w:rFonts w:asciiTheme="majorBidi" w:hAnsiTheme="majorBidi" w:cstheme="majorBidi"/>
                <w:szCs w:val="24"/>
                <w:lang w:val="es-ES"/>
              </w:rPr>
            </w:pPr>
            <w:r w:rsidRPr="00484A2E">
              <w:rPr>
                <w:rFonts w:asciiTheme="majorBidi" w:hAnsiTheme="majorBidi" w:cstheme="majorBidi"/>
                <w:bCs/>
                <w:lang w:val="es-ES"/>
              </w:rPr>
              <w:lastRenderedPageBreak/>
              <w:t xml:space="preserve">La Junta decide incluir la decisión como nota en la Regla de Procedimiento correspondiente al </w:t>
            </w:r>
            <w:r>
              <w:rPr>
                <w:rFonts w:asciiTheme="majorBidi" w:hAnsiTheme="majorBidi" w:cstheme="majorBidi"/>
                <w:bCs/>
                <w:lang w:val="es-ES"/>
              </w:rPr>
              <w:t xml:space="preserve">Apéndice </w:t>
            </w:r>
            <w:r w:rsidRPr="007576BD">
              <w:rPr>
                <w:rFonts w:asciiTheme="majorBidi" w:hAnsiTheme="majorBidi" w:cstheme="majorBidi"/>
                <w:b/>
                <w:lang w:val="es-ES"/>
              </w:rPr>
              <w:t>30</w:t>
            </w:r>
            <w:r>
              <w:rPr>
                <w:rFonts w:asciiTheme="majorBidi" w:hAnsiTheme="majorBidi" w:cstheme="majorBidi"/>
                <w:bCs/>
                <w:lang w:val="es-ES"/>
              </w:rPr>
              <w:t>, Anexo 7,</w:t>
            </w:r>
            <w:r w:rsidRPr="00484A2E">
              <w:rPr>
                <w:rFonts w:asciiTheme="majorBidi" w:hAnsiTheme="majorBidi" w:cstheme="majorBidi"/>
                <w:bCs/>
                <w:lang w:val="es-ES"/>
              </w:rPr>
              <w:t xml:space="preserve"> del RR en su </w:t>
            </w:r>
            <w:r>
              <w:rPr>
                <w:rFonts w:asciiTheme="majorBidi" w:hAnsiTheme="majorBidi" w:cstheme="majorBidi"/>
                <w:bCs/>
                <w:lang w:val="es-ES"/>
              </w:rPr>
              <w:t>85</w:t>
            </w:r>
            <w:r w:rsidRPr="00484A2E">
              <w:rPr>
                <w:rFonts w:asciiTheme="majorBidi" w:hAnsiTheme="majorBidi" w:cstheme="majorBidi"/>
                <w:bCs/>
                <w:lang w:val="es-ES"/>
              </w:rPr>
              <w:t>ª</w:t>
            </w:r>
            <w:r w:rsidR="00F93165">
              <w:rPr>
                <w:rFonts w:asciiTheme="majorBidi" w:hAnsiTheme="majorBidi" w:cstheme="majorBidi"/>
                <w:bCs/>
                <w:lang w:val="es-ES"/>
              </w:rPr>
              <w:t> </w:t>
            </w:r>
            <w:r w:rsidRPr="00484A2E">
              <w:rPr>
                <w:rFonts w:asciiTheme="majorBidi" w:hAnsiTheme="majorBidi" w:cstheme="majorBidi"/>
                <w:bCs/>
                <w:lang w:val="es-ES"/>
              </w:rPr>
              <w:t xml:space="preserve">reunión </w:t>
            </w:r>
            <w:r w:rsidRPr="007576BD">
              <w:rPr>
                <w:rFonts w:asciiTheme="majorBidi" w:hAnsiTheme="majorBidi" w:cstheme="majorBidi"/>
                <w:bCs/>
                <w:lang w:val="es-ES"/>
              </w:rPr>
              <w:t>(</w:t>
            </w:r>
            <w:hyperlink r:id="rId224" w:history="1">
              <w:r w:rsidRPr="007576BD">
                <w:rPr>
                  <w:rStyle w:val="Hyperlink"/>
                  <w:rFonts w:asciiTheme="majorBidi" w:hAnsiTheme="majorBidi" w:cstheme="majorBidi"/>
                  <w:bCs/>
                  <w:lang w:val="es-ES"/>
                </w:rPr>
                <w:t>CR/471</w:t>
              </w:r>
            </w:hyperlink>
            <w:r w:rsidRPr="007576BD">
              <w:rPr>
                <w:rFonts w:asciiTheme="majorBidi" w:hAnsiTheme="majorBidi" w:cstheme="majorBidi"/>
                <w:bCs/>
                <w:lang w:val="es-ES"/>
              </w:rPr>
              <w:t>).</w:t>
            </w:r>
          </w:p>
        </w:tc>
      </w:tr>
      <w:tr w:rsidR="00967792" w:rsidRPr="00D2027A" w14:paraId="4A27DBA2" w14:textId="77777777" w:rsidTr="00924C8B">
        <w:trPr>
          <w:jc w:val="center"/>
        </w:trPr>
        <w:tc>
          <w:tcPr>
            <w:tcW w:w="183" w:type="pct"/>
          </w:tcPr>
          <w:p w14:paraId="6EEBFEF3" w14:textId="2BCB4C98" w:rsidR="00967792" w:rsidRPr="00A616CA" w:rsidRDefault="00967792" w:rsidP="00B53355">
            <w:pPr>
              <w:pStyle w:val="Tabletext"/>
              <w:rPr>
                <w:lang w:val="es-ES"/>
              </w:rPr>
            </w:pPr>
            <w:r w:rsidRPr="00A616CA">
              <w:rPr>
                <w:lang w:val="es-ES"/>
              </w:rPr>
              <w:lastRenderedPageBreak/>
              <w:t>70</w:t>
            </w:r>
          </w:p>
        </w:tc>
        <w:tc>
          <w:tcPr>
            <w:tcW w:w="434" w:type="pct"/>
          </w:tcPr>
          <w:p w14:paraId="6EA0A636" w14:textId="31D10AB0" w:rsidR="00967792" w:rsidRPr="00A616CA" w:rsidRDefault="00967792" w:rsidP="00B53355">
            <w:pPr>
              <w:pStyle w:val="Tabletext"/>
              <w:rPr>
                <w:lang w:val="es-ES"/>
              </w:rPr>
            </w:pPr>
            <w:r w:rsidRPr="00A616CA">
              <w:rPr>
                <w:lang w:val="es-ES"/>
              </w:rPr>
              <w:t>CMR-19</w:t>
            </w:r>
          </w:p>
        </w:tc>
        <w:tc>
          <w:tcPr>
            <w:tcW w:w="523" w:type="pct"/>
          </w:tcPr>
          <w:p w14:paraId="3DFA45BC" w14:textId="3D1DA8FF" w:rsidR="00967792" w:rsidRPr="00D2027A" w:rsidRDefault="00967792" w:rsidP="00A864C4">
            <w:pPr>
              <w:pStyle w:val="Tabletext"/>
              <w:rPr>
                <w:rFonts w:asciiTheme="majorBidi" w:hAnsiTheme="majorBidi" w:cstheme="majorBidi"/>
                <w:bCs/>
                <w:szCs w:val="24"/>
                <w:lang w:val="es-ES"/>
              </w:rPr>
            </w:pPr>
            <w:r w:rsidRPr="00D2027A">
              <w:rPr>
                <w:rFonts w:asciiTheme="majorBidi" w:hAnsiTheme="majorBidi" w:cstheme="majorBidi"/>
                <w:bCs/>
                <w:szCs w:val="24"/>
                <w:lang w:val="es-ES"/>
              </w:rPr>
              <w:t>7ª</w:t>
            </w:r>
            <w:r w:rsidRPr="00D2027A">
              <w:rPr>
                <w:rFonts w:asciiTheme="majorBidi" w:hAnsiTheme="majorBidi" w:cstheme="majorBidi"/>
                <w:bCs/>
                <w:szCs w:val="24"/>
                <w:vertAlign w:val="superscript"/>
                <w:lang w:val="es-ES"/>
              </w:rPr>
              <w:t xml:space="preserve"> </w:t>
            </w:r>
            <w:r w:rsidRPr="00D2027A">
              <w:rPr>
                <w:rFonts w:asciiTheme="majorBidi" w:hAnsiTheme="majorBidi" w:cstheme="majorBidi"/>
                <w:bCs/>
                <w:szCs w:val="24"/>
                <w:lang w:val="es-ES"/>
              </w:rPr>
              <w:t>Plenaria</w:t>
            </w:r>
            <w:r w:rsidR="002D0088">
              <w:rPr>
                <w:rFonts w:asciiTheme="majorBidi" w:hAnsiTheme="majorBidi" w:cstheme="majorBidi"/>
                <w:bCs/>
                <w:szCs w:val="24"/>
                <w:lang w:val="es-ES"/>
              </w:rPr>
              <w:br/>
            </w:r>
            <w:r w:rsidRPr="00A864C4">
              <w:rPr>
                <w:lang w:val="es-ES"/>
              </w:rPr>
              <w:t>Doc</w:t>
            </w:r>
            <w:r w:rsidRPr="00D2027A">
              <w:rPr>
                <w:rFonts w:asciiTheme="majorBidi" w:hAnsiTheme="majorBidi" w:cstheme="majorBidi"/>
                <w:bCs/>
                <w:szCs w:val="24"/>
                <w:lang w:val="es-ES"/>
              </w:rPr>
              <w:t xml:space="preserve">. </w:t>
            </w:r>
            <w:hyperlink r:id="rId225">
              <w:r w:rsidRPr="00D2027A">
                <w:rPr>
                  <w:rStyle w:val="Hyperlink"/>
                  <w:rFonts w:asciiTheme="majorBidi" w:hAnsiTheme="majorBidi" w:cstheme="majorBidi"/>
                  <w:bCs/>
                  <w:szCs w:val="24"/>
                  <w:lang w:val="es-ES"/>
                </w:rPr>
                <w:t>CMR19/568</w:t>
              </w:r>
            </w:hyperlink>
          </w:p>
          <w:p w14:paraId="2415623A" w14:textId="60BE5917" w:rsidR="00967792" w:rsidRPr="00D2027A" w:rsidRDefault="00967792" w:rsidP="00A864C4">
            <w:pPr>
              <w:pStyle w:val="Tabletext"/>
              <w:rPr>
                <w:rFonts w:asciiTheme="majorBidi" w:hAnsiTheme="majorBidi" w:cstheme="majorBidi"/>
                <w:bCs/>
                <w:szCs w:val="24"/>
                <w:lang w:val="es-ES"/>
              </w:rPr>
            </w:pPr>
            <w:r w:rsidRPr="00A864C4">
              <w:rPr>
                <w:lang w:val="es-ES"/>
              </w:rPr>
              <w:t>Aprobación</w:t>
            </w:r>
            <w:r>
              <w:rPr>
                <w:rFonts w:asciiTheme="majorBidi" w:hAnsiTheme="majorBidi" w:cstheme="majorBidi"/>
                <w:bCs/>
                <w:szCs w:val="24"/>
                <w:lang w:val="es-ES"/>
              </w:rPr>
              <w:t xml:space="preserve"> del Documento</w:t>
            </w:r>
            <w:r w:rsidRPr="00D2027A">
              <w:rPr>
                <w:rFonts w:asciiTheme="majorBidi" w:hAnsiTheme="majorBidi" w:cstheme="majorBidi"/>
                <w:bCs/>
                <w:szCs w:val="24"/>
                <w:lang w:val="es-ES"/>
              </w:rPr>
              <w:t xml:space="preserve"> </w:t>
            </w:r>
            <w:hyperlink r:id="rId226" w:history="1">
              <w:r w:rsidRPr="00D2027A">
                <w:rPr>
                  <w:rStyle w:val="Hyperlink"/>
                  <w:rFonts w:asciiTheme="majorBidi" w:hAnsiTheme="majorBidi" w:cstheme="majorBidi"/>
                  <w:bCs/>
                  <w:szCs w:val="24"/>
                  <w:lang w:val="es-ES"/>
                </w:rPr>
                <w:t>CMR19/338</w:t>
              </w:r>
            </w:hyperlink>
          </w:p>
        </w:tc>
        <w:tc>
          <w:tcPr>
            <w:tcW w:w="2312" w:type="pct"/>
          </w:tcPr>
          <w:p w14:paraId="1DE1FC3C" w14:textId="77777777" w:rsidR="00967792" w:rsidRPr="00A864C4" w:rsidRDefault="00967792" w:rsidP="00B53355">
            <w:pPr>
              <w:spacing w:before="40" w:after="40"/>
              <w:rPr>
                <w:sz w:val="22"/>
                <w:lang w:val="es-ES"/>
              </w:rPr>
            </w:pPr>
            <w:r w:rsidRPr="00A864C4">
              <w:rPr>
                <w:sz w:val="22"/>
                <w:lang w:val="es-ES"/>
              </w:rPr>
              <w:t>4.5</w:t>
            </w:r>
            <w:r w:rsidRPr="00A864C4">
              <w:rPr>
                <w:sz w:val="22"/>
                <w:lang w:val="es-ES"/>
              </w:rPr>
              <w:tab/>
              <w:t xml:space="preserve">El </w:t>
            </w:r>
            <w:r w:rsidRPr="00A864C4">
              <w:rPr>
                <w:b/>
                <w:bCs/>
                <w:sz w:val="22"/>
                <w:lang w:val="es-ES"/>
              </w:rPr>
              <w:t>Presidente de la Comisión 5</w:t>
            </w:r>
            <w:r w:rsidRPr="00A864C4">
              <w:rPr>
                <w:sz w:val="22"/>
                <w:lang w:val="es-ES"/>
              </w:rPr>
              <w:t xml:space="preserve"> presenta el Documento 338, que contiene el tercer informe de la Comisión a la Plenaria y recoge las conclusiones de la Comisión sobre el punto 9.2 del orden del día. En aras de la claridad, se propone que el texto siguiente, que figura en el Documento 338, se apruebe y se incluya en las actas de la reunión como decisión de la conferencia:</w:t>
            </w:r>
          </w:p>
          <w:p w14:paraId="01965315" w14:textId="77777777" w:rsidR="00967792" w:rsidRPr="00A864C4" w:rsidRDefault="00967792" w:rsidP="00B53355">
            <w:pPr>
              <w:spacing w:before="40" w:after="40"/>
              <w:rPr>
                <w:b/>
                <w:sz w:val="22"/>
                <w:lang w:val="es-ES"/>
              </w:rPr>
            </w:pPr>
            <w:r w:rsidRPr="00A864C4">
              <w:rPr>
                <w:b/>
                <w:sz w:val="22"/>
                <w:lang w:val="es-ES"/>
              </w:rPr>
              <w:t>«Atribución a la investigación espacial en 14,5</w:t>
            </w:r>
            <w:r w:rsidRPr="00A864C4">
              <w:rPr>
                <w:b/>
                <w:sz w:val="22"/>
                <w:lang w:val="es-ES"/>
              </w:rPr>
              <w:noBreakHyphen/>
              <w:t>14,8 GHz</w:t>
            </w:r>
          </w:p>
          <w:p w14:paraId="7EFDF277" w14:textId="63BF0D85" w:rsidR="00967792" w:rsidRPr="00A864C4" w:rsidRDefault="00967792" w:rsidP="00B53355">
            <w:pPr>
              <w:spacing w:before="40" w:after="40"/>
              <w:rPr>
                <w:sz w:val="22"/>
                <w:lang w:val="es-ES"/>
              </w:rPr>
            </w:pPr>
            <w:r w:rsidRPr="00A864C4">
              <w:rPr>
                <w:sz w:val="22"/>
                <w:lang w:val="es-ES"/>
              </w:rPr>
              <w:t>Tras examinar la sección 3.1.2.4 del Documento </w:t>
            </w:r>
            <w:hyperlink r:id="rId227" w:history="1">
              <w:r w:rsidRPr="00F65386">
                <w:rPr>
                  <w:rStyle w:val="Hyperlink"/>
                  <w:sz w:val="22"/>
                  <w:lang w:val="es-ES"/>
                </w:rPr>
                <w:t>4(Add.2)</w:t>
              </w:r>
            </w:hyperlink>
            <w:r w:rsidRPr="00A864C4">
              <w:rPr>
                <w:sz w:val="22"/>
                <w:lang w:val="es-ES"/>
              </w:rPr>
              <w:t>, la Comisión 5 concluyó que la Conferencia debe encargar al Director de la Oficina de Radiocomunicaciones que supervise el uso de la atribución a la investigación espacial en la banda de frecuencias 14,5</w:t>
            </w:r>
            <w:r w:rsidRPr="00A864C4">
              <w:rPr>
                <w:sz w:val="22"/>
                <w:lang w:val="es-ES"/>
              </w:rPr>
              <w:noBreakHyphen/>
              <w:t>14,8 GHz, y debe invitar al UIT</w:t>
            </w:r>
            <w:r w:rsidRPr="00A864C4">
              <w:rPr>
                <w:sz w:val="22"/>
                <w:lang w:val="es-ES"/>
              </w:rPr>
              <w:noBreakHyphen/>
              <w:t>R a que estudie la evolución de los parámetros técnicos de los sistemas del servicio de investigación espacial y el entorno de compartición conexo de la misma banda de frecuencias.»</w:t>
            </w:r>
          </w:p>
          <w:p w14:paraId="6F4BB504" w14:textId="77777777" w:rsidR="00967792" w:rsidRPr="00A864C4" w:rsidRDefault="00967792" w:rsidP="00B53355">
            <w:pPr>
              <w:spacing w:before="40" w:after="40"/>
              <w:rPr>
                <w:sz w:val="22"/>
                <w:lang w:val="es-ES"/>
              </w:rPr>
            </w:pPr>
            <w:r w:rsidRPr="00A864C4">
              <w:rPr>
                <w:sz w:val="22"/>
                <w:lang w:val="es-ES"/>
              </w:rPr>
              <w:t>4.6</w:t>
            </w:r>
            <w:r w:rsidRPr="00A864C4">
              <w:rPr>
                <w:sz w:val="22"/>
                <w:lang w:val="es-ES"/>
              </w:rPr>
              <w:tab/>
              <w:t xml:space="preserve">Así se </w:t>
            </w:r>
            <w:r w:rsidRPr="00A864C4">
              <w:rPr>
                <w:b/>
                <w:bCs/>
                <w:sz w:val="22"/>
                <w:lang w:val="es-ES"/>
              </w:rPr>
              <w:t>acuerda</w:t>
            </w:r>
            <w:r w:rsidRPr="00A864C4">
              <w:rPr>
                <w:sz w:val="22"/>
                <w:lang w:val="es-ES"/>
              </w:rPr>
              <w:t>.</w:t>
            </w:r>
          </w:p>
          <w:p w14:paraId="6366013E" w14:textId="4E0A9F64" w:rsidR="00967792" w:rsidRPr="00A864C4" w:rsidRDefault="00967792" w:rsidP="00B53355">
            <w:pPr>
              <w:spacing w:before="40" w:after="40"/>
              <w:rPr>
                <w:sz w:val="22"/>
                <w:lang w:val="es-ES"/>
              </w:rPr>
            </w:pPr>
            <w:r w:rsidRPr="00A864C4">
              <w:rPr>
                <w:sz w:val="22"/>
                <w:lang w:val="es-ES"/>
              </w:rPr>
              <w:t>4.7</w:t>
            </w:r>
            <w:r w:rsidRPr="00A864C4">
              <w:rPr>
                <w:sz w:val="22"/>
                <w:lang w:val="es-ES"/>
              </w:rPr>
              <w:tab/>
            </w:r>
            <w:bookmarkStart w:id="68" w:name="lt_pId172"/>
            <w:r w:rsidRPr="00A864C4">
              <w:rPr>
                <w:sz w:val="22"/>
                <w:lang w:val="es-ES"/>
              </w:rPr>
              <w:t xml:space="preserve">Se </w:t>
            </w:r>
            <w:r w:rsidRPr="00A864C4">
              <w:rPr>
                <w:b/>
                <w:bCs/>
                <w:sz w:val="22"/>
                <w:lang w:val="es-ES"/>
              </w:rPr>
              <w:t xml:space="preserve">aprueba </w:t>
            </w:r>
            <w:r w:rsidRPr="00A864C4">
              <w:rPr>
                <w:sz w:val="22"/>
                <w:lang w:val="es-ES"/>
              </w:rPr>
              <w:t>el Documento 338.</w:t>
            </w:r>
            <w:bookmarkEnd w:id="68"/>
          </w:p>
        </w:tc>
        <w:tc>
          <w:tcPr>
            <w:tcW w:w="1548" w:type="pct"/>
          </w:tcPr>
          <w:p w14:paraId="5631A8DC" w14:textId="6BE032E0" w:rsidR="00967792" w:rsidRPr="00266695" w:rsidDel="009440F5" w:rsidRDefault="00967792" w:rsidP="00B53355">
            <w:pPr>
              <w:pStyle w:val="Tabletext"/>
              <w:rPr>
                <w:lang w:val="es-ES"/>
              </w:rPr>
            </w:pPr>
            <w:r w:rsidRPr="00266695">
              <w:rPr>
                <w:lang w:val="es-ES"/>
              </w:rPr>
              <w:t>–</w:t>
            </w:r>
          </w:p>
        </w:tc>
      </w:tr>
      <w:tr w:rsidR="00967792" w:rsidRPr="00D2027A" w14:paraId="18B2DC29" w14:textId="77777777" w:rsidTr="00924C8B">
        <w:trPr>
          <w:jc w:val="center"/>
        </w:trPr>
        <w:tc>
          <w:tcPr>
            <w:tcW w:w="183" w:type="pct"/>
          </w:tcPr>
          <w:p w14:paraId="39B1C938" w14:textId="6D25CB31" w:rsidR="00967792" w:rsidRPr="00A616CA" w:rsidRDefault="00967792" w:rsidP="00B53355">
            <w:pPr>
              <w:pStyle w:val="Tabletext"/>
              <w:rPr>
                <w:lang w:val="es-ES"/>
              </w:rPr>
            </w:pPr>
            <w:r w:rsidRPr="00A616CA">
              <w:rPr>
                <w:lang w:val="es-ES"/>
              </w:rPr>
              <w:lastRenderedPageBreak/>
              <w:t>71</w:t>
            </w:r>
          </w:p>
        </w:tc>
        <w:tc>
          <w:tcPr>
            <w:tcW w:w="434" w:type="pct"/>
          </w:tcPr>
          <w:p w14:paraId="748136D1" w14:textId="3B93C958" w:rsidR="00967792" w:rsidRPr="00A616CA" w:rsidRDefault="00967792" w:rsidP="00B53355">
            <w:pPr>
              <w:pStyle w:val="Tabletext"/>
              <w:rPr>
                <w:lang w:val="es-ES"/>
              </w:rPr>
            </w:pPr>
            <w:r w:rsidRPr="00A616CA">
              <w:rPr>
                <w:lang w:val="es-ES"/>
              </w:rPr>
              <w:t>CMR-19</w:t>
            </w:r>
          </w:p>
        </w:tc>
        <w:tc>
          <w:tcPr>
            <w:tcW w:w="523" w:type="pct"/>
          </w:tcPr>
          <w:p w14:paraId="75C35E91" w14:textId="4A0C559D" w:rsidR="00967792" w:rsidRPr="00D2027A" w:rsidRDefault="00967792" w:rsidP="00A864C4">
            <w:pPr>
              <w:pStyle w:val="Tabletext"/>
              <w:rPr>
                <w:rFonts w:asciiTheme="majorBidi" w:hAnsiTheme="majorBidi" w:cstheme="majorBidi"/>
                <w:bCs/>
                <w:szCs w:val="24"/>
                <w:lang w:val="es-ES"/>
              </w:rPr>
            </w:pPr>
            <w:r w:rsidRPr="00A864C4">
              <w:rPr>
                <w:lang w:val="es-ES"/>
              </w:rPr>
              <w:t>7ª</w:t>
            </w:r>
            <w:r w:rsidRPr="00D2027A">
              <w:rPr>
                <w:rFonts w:asciiTheme="majorBidi" w:hAnsiTheme="majorBidi" w:cstheme="majorBidi"/>
                <w:bCs/>
                <w:szCs w:val="24"/>
                <w:vertAlign w:val="superscript"/>
                <w:lang w:val="es-ES"/>
              </w:rPr>
              <w:t xml:space="preserve"> </w:t>
            </w:r>
            <w:r w:rsidRPr="00D2027A">
              <w:rPr>
                <w:rFonts w:asciiTheme="majorBidi" w:hAnsiTheme="majorBidi" w:cstheme="majorBidi"/>
                <w:bCs/>
                <w:szCs w:val="24"/>
                <w:lang w:val="es-ES"/>
              </w:rPr>
              <w:t>Plenaria</w:t>
            </w:r>
            <w:r w:rsidR="002D0088">
              <w:rPr>
                <w:rFonts w:asciiTheme="majorBidi" w:hAnsiTheme="majorBidi" w:cstheme="majorBidi"/>
                <w:bCs/>
                <w:szCs w:val="24"/>
                <w:lang w:val="es-ES"/>
              </w:rPr>
              <w:br/>
            </w:r>
            <w:r w:rsidRPr="00A864C4">
              <w:rPr>
                <w:lang w:val="es-ES"/>
              </w:rPr>
              <w:t>Doc</w:t>
            </w:r>
            <w:r w:rsidRPr="00D2027A">
              <w:rPr>
                <w:rFonts w:asciiTheme="majorBidi" w:hAnsiTheme="majorBidi" w:cstheme="majorBidi"/>
                <w:bCs/>
                <w:szCs w:val="24"/>
                <w:lang w:val="es-ES"/>
              </w:rPr>
              <w:t xml:space="preserve">. </w:t>
            </w:r>
            <w:hyperlink r:id="rId228" w:history="1">
              <w:r w:rsidRPr="00D2027A">
                <w:rPr>
                  <w:rStyle w:val="Hyperlink"/>
                  <w:rFonts w:asciiTheme="majorBidi" w:hAnsiTheme="majorBidi" w:cstheme="majorBidi"/>
                  <w:bCs/>
                  <w:szCs w:val="24"/>
                  <w:lang w:val="es-ES"/>
                </w:rPr>
                <w:t>CMR19/568</w:t>
              </w:r>
            </w:hyperlink>
            <w:r w:rsidRPr="00D2027A">
              <w:rPr>
                <w:rFonts w:asciiTheme="majorBidi" w:hAnsiTheme="majorBidi" w:cstheme="majorBidi"/>
                <w:bCs/>
                <w:szCs w:val="24"/>
                <w:lang w:val="es-ES"/>
              </w:rPr>
              <w:t xml:space="preserve"> </w:t>
            </w:r>
          </w:p>
          <w:p w14:paraId="1C20E916" w14:textId="508A42C4" w:rsidR="00967792" w:rsidRPr="00D2027A" w:rsidRDefault="00967792" w:rsidP="00A864C4">
            <w:pPr>
              <w:pStyle w:val="Tabletext"/>
              <w:rPr>
                <w:rFonts w:asciiTheme="majorBidi" w:hAnsiTheme="majorBidi" w:cstheme="majorBidi"/>
                <w:bCs/>
                <w:szCs w:val="24"/>
                <w:lang w:val="es-ES"/>
              </w:rPr>
            </w:pPr>
            <w:r>
              <w:rPr>
                <w:rFonts w:asciiTheme="majorBidi" w:hAnsiTheme="majorBidi" w:cstheme="majorBidi"/>
                <w:bCs/>
                <w:szCs w:val="24"/>
                <w:lang w:val="es-ES"/>
              </w:rPr>
              <w:t>Aprobación del Documento</w:t>
            </w:r>
            <w:r w:rsidRPr="00D2027A">
              <w:rPr>
                <w:rFonts w:asciiTheme="majorBidi" w:hAnsiTheme="majorBidi" w:cstheme="majorBidi"/>
                <w:bCs/>
                <w:szCs w:val="24"/>
                <w:lang w:val="es-ES"/>
              </w:rPr>
              <w:t xml:space="preserve"> </w:t>
            </w:r>
            <w:hyperlink r:id="rId229" w:history="1">
              <w:r w:rsidRPr="00D2027A">
                <w:rPr>
                  <w:rStyle w:val="Hyperlink"/>
                  <w:rFonts w:asciiTheme="majorBidi" w:hAnsiTheme="majorBidi" w:cstheme="majorBidi"/>
                  <w:bCs/>
                  <w:szCs w:val="24"/>
                  <w:lang w:val="es-ES"/>
                </w:rPr>
                <w:t>CMR19/238</w:t>
              </w:r>
            </w:hyperlink>
          </w:p>
        </w:tc>
        <w:tc>
          <w:tcPr>
            <w:tcW w:w="2312" w:type="pct"/>
          </w:tcPr>
          <w:p w14:paraId="607ED68A" w14:textId="4A8B77CE" w:rsidR="00967792" w:rsidRDefault="00967792" w:rsidP="00B53355">
            <w:pPr>
              <w:spacing w:before="40" w:after="40"/>
              <w:rPr>
                <w:sz w:val="22"/>
                <w:lang w:val="es-ES"/>
              </w:rPr>
            </w:pPr>
            <w:r w:rsidRPr="00A864C4">
              <w:rPr>
                <w:sz w:val="22"/>
                <w:lang w:val="es-ES"/>
              </w:rPr>
              <w:t>13.1</w:t>
            </w:r>
            <w:r w:rsidRPr="00A864C4">
              <w:rPr>
                <w:sz w:val="22"/>
                <w:lang w:val="es-ES"/>
              </w:rPr>
              <w:tab/>
            </w:r>
            <w:bookmarkStart w:id="69" w:name="lt_pId308"/>
            <w:r w:rsidRPr="00A864C4">
              <w:rPr>
                <w:sz w:val="22"/>
                <w:lang w:val="es-ES"/>
              </w:rPr>
              <w:t xml:space="preserve">El </w:t>
            </w:r>
            <w:r w:rsidRPr="00A864C4">
              <w:rPr>
                <w:b/>
                <w:bCs/>
                <w:sz w:val="22"/>
                <w:lang w:val="es-ES"/>
              </w:rPr>
              <w:t>delegado de Egipto</w:t>
            </w:r>
            <w:r w:rsidRPr="00A864C4">
              <w:rPr>
                <w:sz w:val="22"/>
                <w:lang w:val="es-ES"/>
              </w:rPr>
              <w:t xml:space="preserve"> presenta el Documento 238, que contiene una petición relativa al satélite Nilesat 301 de Egipto, que debe situarse en la posición orbital 7° W antes del 19 de marzo de 2022, fecha en la que se cumple el plazo para la puesta en servicio de las asignaciones de frecuencias de la notificación EGY-N-SAT. Aunque confía en que podrá cumplir ese plazo, la Administración de Egipto está preocupada por si se produce algún percance imprevisto que produzca un retraso ajeno a su control, afectando a la fecha de lanzamiento del satélite. Por consiguiente, pidió a la Conferencia que concediera una prórroga de seis meses del plazo hasta el 19 de septiembre de 2022.</w:t>
            </w:r>
            <w:bookmarkEnd w:id="69"/>
          </w:p>
          <w:p w14:paraId="637FF47F" w14:textId="1ABE7823" w:rsidR="009C1C92" w:rsidRPr="00A864C4" w:rsidRDefault="009C1C92" w:rsidP="00B53355">
            <w:pPr>
              <w:spacing w:before="40" w:after="40"/>
              <w:rPr>
                <w:sz w:val="22"/>
                <w:lang w:val="es-ES"/>
              </w:rPr>
            </w:pPr>
            <w:r>
              <w:rPr>
                <w:sz w:val="22"/>
                <w:lang w:val="es-ES"/>
              </w:rPr>
              <w:t>(...)</w:t>
            </w:r>
          </w:p>
          <w:p w14:paraId="15A27A55" w14:textId="77777777" w:rsidR="00967792" w:rsidRPr="00A864C4" w:rsidRDefault="00967792" w:rsidP="00B53355">
            <w:pPr>
              <w:spacing w:before="40" w:after="40"/>
              <w:rPr>
                <w:sz w:val="22"/>
                <w:lang w:val="es-ES"/>
              </w:rPr>
            </w:pPr>
            <w:r w:rsidRPr="00A864C4">
              <w:rPr>
                <w:sz w:val="22"/>
                <w:lang w:val="es-ES"/>
              </w:rPr>
              <w:t>13.6</w:t>
            </w:r>
            <w:r w:rsidRPr="00A864C4">
              <w:rPr>
                <w:sz w:val="22"/>
                <w:lang w:val="es-ES"/>
              </w:rPr>
              <w:tab/>
            </w:r>
            <w:bookmarkStart w:id="70" w:name="lt_pId318"/>
            <w:r w:rsidRPr="00A864C4">
              <w:rPr>
                <w:sz w:val="22"/>
                <w:lang w:val="es-ES"/>
              </w:rPr>
              <w:t xml:space="preserve">El </w:t>
            </w:r>
            <w:r w:rsidRPr="00A864C4">
              <w:rPr>
                <w:b/>
                <w:bCs/>
                <w:sz w:val="22"/>
                <w:lang w:val="es-ES"/>
              </w:rPr>
              <w:t>Presidente</w:t>
            </w:r>
            <w:r w:rsidRPr="00A864C4">
              <w:rPr>
                <w:sz w:val="22"/>
                <w:lang w:val="es-ES"/>
              </w:rPr>
              <w:t xml:space="preserve"> entiende que la Conferencia desea aprobar la solicitud de la Administración de Egipto.</w:t>
            </w:r>
            <w:bookmarkEnd w:id="70"/>
          </w:p>
          <w:p w14:paraId="359ABFE5" w14:textId="416BED8F" w:rsidR="00967792" w:rsidRPr="00A864C4" w:rsidRDefault="00967792" w:rsidP="00B53355">
            <w:pPr>
              <w:spacing w:before="40" w:after="40"/>
              <w:rPr>
                <w:sz w:val="22"/>
                <w:lang w:val="es-ES"/>
              </w:rPr>
            </w:pPr>
            <w:r w:rsidRPr="00A864C4">
              <w:rPr>
                <w:sz w:val="22"/>
                <w:lang w:val="es-ES"/>
              </w:rPr>
              <w:t>13.7</w:t>
            </w:r>
            <w:r w:rsidRPr="00A864C4">
              <w:rPr>
                <w:sz w:val="22"/>
                <w:lang w:val="es-ES"/>
              </w:rPr>
              <w:tab/>
            </w:r>
            <w:bookmarkStart w:id="71" w:name="lt_pId320"/>
            <w:r w:rsidRPr="00A864C4">
              <w:rPr>
                <w:sz w:val="22"/>
                <w:lang w:val="es-ES"/>
              </w:rPr>
              <w:t xml:space="preserve">Así se </w:t>
            </w:r>
            <w:r w:rsidRPr="00A864C4">
              <w:rPr>
                <w:b/>
                <w:bCs/>
                <w:sz w:val="22"/>
                <w:lang w:val="es-ES"/>
              </w:rPr>
              <w:t>acuerda</w:t>
            </w:r>
            <w:r w:rsidRPr="00A864C4">
              <w:rPr>
                <w:sz w:val="22"/>
                <w:lang w:val="es-ES"/>
              </w:rPr>
              <w:t>.</w:t>
            </w:r>
            <w:bookmarkEnd w:id="71"/>
          </w:p>
        </w:tc>
        <w:tc>
          <w:tcPr>
            <w:tcW w:w="1548" w:type="pct"/>
          </w:tcPr>
          <w:p w14:paraId="4DDFAB13" w14:textId="28DCA171" w:rsidR="00967792" w:rsidRPr="00266695" w:rsidDel="009440F5" w:rsidRDefault="00967792" w:rsidP="00B53355">
            <w:pPr>
              <w:pStyle w:val="Tabletext"/>
              <w:rPr>
                <w:lang w:val="es-ES"/>
              </w:rPr>
            </w:pPr>
            <w:r w:rsidRPr="00266695">
              <w:rPr>
                <w:lang w:val="es-ES"/>
              </w:rPr>
              <w:t>–</w:t>
            </w:r>
          </w:p>
        </w:tc>
      </w:tr>
      <w:tr w:rsidR="00967792" w:rsidRPr="00D2027A" w14:paraId="1DD7E84E" w14:textId="77777777" w:rsidTr="00924C8B">
        <w:trPr>
          <w:jc w:val="center"/>
        </w:trPr>
        <w:tc>
          <w:tcPr>
            <w:tcW w:w="183" w:type="pct"/>
          </w:tcPr>
          <w:p w14:paraId="20B4C5B9" w14:textId="2719EE2A" w:rsidR="00967792" w:rsidRPr="00A616CA" w:rsidRDefault="00967792" w:rsidP="00B53355">
            <w:pPr>
              <w:pStyle w:val="Tabletext"/>
              <w:rPr>
                <w:lang w:val="es-ES"/>
              </w:rPr>
            </w:pPr>
            <w:r w:rsidRPr="00A616CA">
              <w:rPr>
                <w:lang w:val="es-ES"/>
              </w:rPr>
              <w:t>72</w:t>
            </w:r>
          </w:p>
        </w:tc>
        <w:tc>
          <w:tcPr>
            <w:tcW w:w="434" w:type="pct"/>
          </w:tcPr>
          <w:p w14:paraId="5211FFDB" w14:textId="2FA012C8" w:rsidR="00967792" w:rsidRPr="00A616CA" w:rsidRDefault="00967792" w:rsidP="00B53355">
            <w:pPr>
              <w:pStyle w:val="Tabletext"/>
              <w:rPr>
                <w:lang w:val="es-ES"/>
              </w:rPr>
            </w:pPr>
            <w:r w:rsidRPr="00A616CA">
              <w:rPr>
                <w:lang w:val="es-ES"/>
              </w:rPr>
              <w:t>CMR-19</w:t>
            </w:r>
          </w:p>
        </w:tc>
        <w:tc>
          <w:tcPr>
            <w:tcW w:w="523" w:type="pct"/>
          </w:tcPr>
          <w:p w14:paraId="0788D2D0" w14:textId="070F404F" w:rsidR="00967792" w:rsidRPr="00D2027A" w:rsidRDefault="00967792" w:rsidP="00A864C4">
            <w:pPr>
              <w:pStyle w:val="Tabletext"/>
              <w:rPr>
                <w:rFonts w:asciiTheme="majorBidi" w:hAnsiTheme="majorBidi" w:cstheme="majorBidi"/>
                <w:bCs/>
                <w:szCs w:val="24"/>
                <w:lang w:val="es-ES"/>
              </w:rPr>
            </w:pPr>
            <w:r w:rsidRPr="00D2027A">
              <w:rPr>
                <w:rFonts w:asciiTheme="majorBidi" w:hAnsiTheme="majorBidi" w:cstheme="majorBidi"/>
                <w:bCs/>
                <w:szCs w:val="24"/>
                <w:lang w:val="es-ES"/>
              </w:rPr>
              <w:t>8ª</w:t>
            </w:r>
            <w:r w:rsidRPr="00D2027A">
              <w:rPr>
                <w:rFonts w:asciiTheme="majorBidi" w:hAnsiTheme="majorBidi" w:cstheme="majorBidi"/>
                <w:bCs/>
                <w:szCs w:val="24"/>
                <w:vertAlign w:val="superscript"/>
                <w:lang w:val="es-ES"/>
              </w:rPr>
              <w:t xml:space="preserve"> </w:t>
            </w:r>
            <w:r w:rsidRPr="00A864C4">
              <w:rPr>
                <w:lang w:val="es-ES"/>
              </w:rPr>
              <w:t>Plenaria</w:t>
            </w:r>
            <w:r w:rsidR="002D0088">
              <w:rPr>
                <w:rFonts w:asciiTheme="majorBidi" w:hAnsiTheme="majorBidi" w:cstheme="majorBidi"/>
                <w:bCs/>
                <w:szCs w:val="24"/>
                <w:lang w:val="es-ES"/>
              </w:rPr>
              <w:br/>
            </w:r>
            <w:r w:rsidRPr="00D2027A">
              <w:rPr>
                <w:rFonts w:asciiTheme="majorBidi" w:hAnsiTheme="majorBidi" w:cstheme="majorBidi"/>
                <w:bCs/>
                <w:szCs w:val="24"/>
                <w:lang w:val="es-ES"/>
              </w:rPr>
              <w:t xml:space="preserve">Doc. </w:t>
            </w:r>
            <w:hyperlink r:id="rId230" w:history="1">
              <w:r w:rsidRPr="00D2027A">
                <w:rPr>
                  <w:rStyle w:val="Hyperlink"/>
                  <w:rFonts w:asciiTheme="majorBidi" w:hAnsiTheme="majorBidi" w:cstheme="majorBidi"/>
                  <w:bCs/>
                  <w:szCs w:val="24"/>
                  <w:lang w:val="es-ES"/>
                </w:rPr>
                <w:t>CMR19/569</w:t>
              </w:r>
            </w:hyperlink>
            <w:r w:rsidRPr="00D2027A">
              <w:rPr>
                <w:rFonts w:asciiTheme="majorBidi" w:hAnsiTheme="majorBidi" w:cstheme="majorBidi"/>
                <w:bCs/>
                <w:szCs w:val="24"/>
                <w:lang w:val="es-ES"/>
              </w:rPr>
              <w:t xml:space="preserve"> </w:t>
            </w:r>
          </w:p>
          <w:p w14:paraId="17915080" w14:textId="4A459179" w:rsidR="00967792" w:rsidRPr="00D2027A" w:rsidRDefault="00967792" w:rsidP="00A864C4">
            <w:pPr>
              <w:pStyle w:val="Tabletext"/>
              <w:rPr>
                <w:rFonts w:asciiTheme="majorBidi" w:hAnsiTheme="majorBidi" w:cstheme="majorBidi"/>
                <w:bCs/>
                <w:szCs w:val="24"/>
                <w:lang w:val="es-ES"/>
              </w:rPr>
            </w:pPr>
            <w:r w:rsidRPr="00A864C4">
              <w:rPr>
                <w:lang w:val="es-ES"/>
              </w:rPr>
              <w:t>Aprobación</w:t>
            </w:r>
            <w:r>
              <w:rPr>
                <w:rFonts w:asciiTheme="majorBidi" w:hAnsiTheme="majorBidi" w:cstheme="majorBidi"/>
                <w:bCs/>
                <w:szCs w:val="24"/>
                <w:lang w:val="es-ES"/>
              </w:rPr>
              <w:t xml:space="preserve"> del Documento</w:t>
            </w:r>
            <w:r w:rsidRPr="00D2027A">
              <w:rPr>
                <w:rFonts w:asciiTheme="majorBidi" w:hAnsiTheme="majorBidi" w:cstheme="majorBidi"/>
                <w:bCs/>
                <w:szCs w:val="24"/>
                <w:lang w:val="es-ES"/>
              </w:rPr>
              <w:t xml:space="preserve"> </w:t>
            </w:r>
            <w:hyperlink r:id="rId231" w:history="1">
              <w:r w:rsidRPr="00D2027A">
                <w:rPr>
                  <w:rStyle w:val="Hyperlink"/>
                  <w:rFonts w:asciiTheme="majorBidi" w:hAnsiTheme="majorBidi" w:cstheme="majorBidi"/>
                  <w:bCs/>
                  <w:szCs w:val="24"/>
                  <w:lang w:val="es-ES"/>
                </w:rPr>
                <w:t>CMR19/344</w:t>
              </w:r>
            </w:hyperlink>
          </w:p>
        </w:tc>
        <w:tc>
          <w:tcPr>
            <w:tcW w:w="2312" w:type="pct"/>
          </w:tcPr>
          <w:p w14:paraId="4D5390D1" w14:textId="77777777" w:rsidR="00967792" w:rsidRPr="00A864C4" w:rsidRDefault="00967792" w:rsidP="00B53355">
            <w:pPr>
              <w:spacing w:before="40" w:after="40"/>
              <w:rPr>
                <w:sz w:val="22"/>
                <w:lang w:val="es-ES"/>
              </w:rPr>
            </w:pPr>
            <w:r w:rsidRPr="00A864C4">
              <w:rPr>
                <w:sz w:val="22"/>
                <w:lang w:val="es-ES"/>
              </w:rPr>
              <w:t>3.4</w:t>
            </w:r>
            <w:r w:rsidRPr="00A864C4">
              <w:rPr>
                <w:sz w:val="22"/>
                <w:lang w:val="es-ES"/>
              </w:rPr>
              <w:tab/>
              <w:t xml:space="preserve">El </w:t>
            </w:r>
            <w:r w:rsidRPr="00A864C4">
              <w:rPr>
                <w:b/>
                <w:bCs/>
                <w:sz w:val="22"/>
                <w:lang w:val="es-ES"/>
              </w:rPr>
              <w:t>Presidente de la Comisión 5</w:t>
            </w:r>
            <w:r w:rsidRPr="00A864C4">
              <w:rPr>
                <w:sz w:val="22"/>
                <w:lang w:val="es-ES"/>
              </w:rPr>
              <w:t xml:space="preserve"> presenta el Documento 344, en el que figura el sexto informe de esta Comisión a la Plenaria sobre las conclusiones de la Comisión en relación con el punto 9.1 del orden del día. Se propone que el texto siguiente, que figura en el Documento 344, se apruebe y se incluya en las actas de la Sesión Plenaria como decisión de la Conferencia:</w:t>
            </w:r>
          </w:p>
          <w:p w14:paraId="19E7716D" w14:textId="10450AED" w:rsidR="00967792" w:rsidRPr="00A864C4" w:rsidRDefault="00967792" w:rsidP="00B53355">
            <w:pPr>
              <w:spacing w:before="40" w:after="40"/>
              <w:rPr>
                <w:sz w:val="22"/>
                <w:lang w:val="es-ES"/>
              </w:rPr>
            </w:pPr>
            <w:r w:rsidRPr="00A864C4">
              <w:rPr>
                <w:sz w:val="22"/>
                <w:lang w:val="es-ES"/>
              </w:rPr>
              <w:t>«La CMR-19 recibió el Documento 92(Add.21) que trata de la preocupación creada por la interferencia de enlace ascendente que sufren dos redes de satélites OSG en la banda de frecuencias 2 670</w:t>
            </w:r>
            <w:r w:rsidRPr="00A864C4">
              <w:rPr>
                <w:sz w:val="22"/>
                <w:lang w:val="es-ES"/>
              </w:rPr>
              <w:noBreakHyphen/>
              <w:t>2 690 MHz. El problema también se incluyó en la Parte 1 del Informe del Director (Documento 4(Add.1), Anexo 2, § 2.3.2) y se debatió durante la Asamblea de Radiocomunicaciones 2019 (AR</w:t>
            </w:r>
            <w:r w:rsidRPr="00A864C4">
              <w:rPr>
                <w:sz w:val="22"/>
                <w:lang w:val="es-ES"/>
              </w:rPr>
              <w:noBreakHyphen/>
              <w:t>19). El resultado del debate en la AR</w:t>
            </w:r>
            <w:r w:rsidR="009C1C92">
              <w:rPr>
                <w:sz w:val="22"/>
                <w:lang w:val="es-ES"/>
              </w:rPr>
              <w:noBreakHyphen/>
            </w:r>
            <w:r w:rsidRPr="00A864C4">
              <w:rPr>
                <w:sz w:val="22"/>
                <w:lang w:val="es-ES"/>
              </w:rPr>
              <w:t>19 fue el reconocimiento de la preocupación expresada en relación con las dificultades que se están produciendo actualmente, debidas a la continuada incompatibilidad entre el SMS y el SM, y una invitación a la CMR</w:t>
            </w:r>
            <w:r w:rsidRPr="00A864C4">
              <w:rPr>
                <w:sz w:val="22"/>
                <w:lang w:val="es-ES"/>
              </w:rPr>
              <w:noBreakHyphen/>
              <w:t>19 a que adopte las medidas que considere adecuadas, con miras a acelerar la resolución satisfactoria del problema.</w:t>
            </w:r>
          </w:p>
          <w:p w14:paraId="5EF731B8" w14:textId="77777777" w:rsidR="00967792" w:rsidRPr="00A864C4" w:rsidRDefault="00967792" w:rsidP="00B53355">
            <w:pPr>
              <w:spacing w:before="40" w:after="40"/>
              <w:rPr>
                <w:iCs/>
                <w:sz w:val="22"/>
                <w:lang w:val="es-ES"/>
              </w:rPr>
            </w:pPr>
            <w:r w:rsidRPr="00A864C4">
              <w:rPr>
                <w:sz w:val="22"/>
                <w:lang w:val="es-ES"/>
              </w:rPr>
              <w:lastRenderedPageBreak/>
              <w:t>La CMR</w:t>
            </w:r>
            <w:r w:rsidRPr="00A864C4">
              <w:rPr>
                <w:sz w:val="22"/>
                <w:lang w:val="es-ES"/>
              </w:rPr>
              <w:noBreakHyphen/>
              <w:t xml:space="preserve">19 reconoció la urgencia del problema debido a la interferencia que se está produciendo actualmente. También consideró la posibilidad de revisar la Resolución </w:t>
            </w:r>
            <w:r w:rsidRPr="00A864C4">
              <w:rPr>
                <w:b/>
                <w:sz w:val="22"/>
                <w:lang w:val="es-ES"/>
              </w:rPr>
              <w:t>225 (Rev.CMR</w:t>
            </w:r>
            <w:r w:rsidRPr="00A864C4">
              <w:rPr>
                <w:b/>
                <w:sz w:val="22"/>
                <w:lang w:val="es-ES"/>
              </w:rPr>
              <w:noBreakHyphen/>
              <w:t>12)</w:t>
            </w:r>
            <w:r w:rsidRPr="00A864C4">
              <w:rPr>
                <w:sz w:val="22"/>
                <w:lang w:val="es-ES"/>
              </w:rPr>
              <w:t xml:space="preserve"> con el fin de dar a conocer en particular este problema. Si bien no se acordó la propuesta de revisión, la CMR</w:t>
            </w:r>
            <w:r w:rsidRPr="00A864C4">
              <w:rPr>
                <w:sz w:val="22"/>
                <w:lang w:val="es-ES"/>
              </w:rPr>
              <w:noBreakHyphen/>
              <w:t>19 acordó invitar al UIT</w:t>
            </w:r>
            <w:r w:rsidRPr="00A864C4">
              <w:rPr>
                <w:sz w:val="22"/>
                <w:lang w:val="es-ES"/>
              </w:rPr>
              <w:noBreakHyphen/>
              <w:t>R a centrar sus esfuerzos en acelerar los estudios de compartición con miras a finalizar la elaboración de Recomendaciones y/o Informes adecuados que proporcionen las medidas técnicas y operativas para la coexistencia del servicio móvil por satélite y la componente terrenal de las IMT en la banda de frecuencias 2 655</w:t>
            </w:r>
            <w:r w:rsidRPr="00A864C4">
              <w:rPr>
                <w:sz w:val="22"/>
                <w:lang w:val="es-ES"/>
              </w:rPr>
              <w:noBreakHyphen/>
              <w:t>2 690 MHz, durante el siguiente ciclo de estudios</w:t>
            </w:r>
            <w:r w:rsidRPr="00A864C4">
              <w:rPr>
                <w:iCs/>
                <w:sz w:val="22"/>
                <w:lang w:val="es-ES"/>
              </w:rPr>
              <w:t>, es decir en 2023</w:t>
            </w:r>
            <w:r w:rsidRPr="00A864C4">
              <w:rPr>
                <w:sz w:val="22"/>
                <w:lang w:val="es-ES"/>
              </w:rPr>
              <w:t>»</w:t>
            </w:r>
            <w:r w:rsidRPr="00A864C4">
              <w:rPr>
                <w:iCs/>
                <w:sz w:val="22"/>
                <w:lang w:val="es-ES"/>
              </w:rPr>
              <w:t>.</w:t>
            </w:r>
          </w:p>
          <w:p w14:paraId="4C3B58DA" w14:textId="77777777" w:rsidR="00967792" w:rsidRPr="00A864C4" w:rsidRDefault="00967792" w:rsidP="00B53355">
            <w:pPr>
              <w:spacing w:before="40" w:after="40"/>
              <w:rPr>
                <w:sz w:val="22"/>
                <w:lang w:val="es-ES"/>
              </w:rPr>
            </w:pPr>
            <w:r w:rsidRPr="00A864C4">
              <w:rPr>
                <w:sz w:val="22"/>
                <w:lang w:val="es-ES"/>
              </w:rPr>
              <w:t>3.5</w:t>
            </w:r>
            <w:r w:rsidRPr="00A864C4">
              <w:rPr>
                <w:sz w:val="22"/>
                <w:lang w:val="es-ES"/>
              </w:rPr>
              <w:tab/>
              <w:t xml:space="preserve">Así se </w:t>
            </w:r>
            <w:r w:rsidRPr="00A864C4">
              <w:rPr>
                <w:b/>
                <w:bCs/>
                <w:sz w:val="22"/>
                <w:lang w:val="es-ES"/>
              </w:rPr>
              <w:t>acuerda</w:t>
            </w:r>
            <w:r w:rsidRPr="00A864C4">
              <w:rPr>
                <w:sz w:val="22"/>
                <w:lang w:val="es-ES"/>
              </w:rPr>
              <w:t>.</w:t>
            </w:r>
          </w:p>
          <w:p w14:paraId="1BCC8A73" w14:textId="77777777" w:rsidR="00967792" w:rsidRPr="00A864C4" w:rsidRDefault="00967792" w:rsidP="00B53355">
            <w:pPr>
              <w:spacing w:before="40" w:after="40"/>
              <w:rPr>
                <w:sz w:val="22"/>
                <w:lang w:val="es-ES"/>
              </w:rPr>
            </w:pPr>
            <w:r w:rsidRPr="00A864C4">
              <w:rPr>
                <w:sz w:val="22"/>
                <w:lang w:val="es-ES"/>
              </w:rPr>
              <w:t>3.6</w:t>
            </w:r>
            <w:r w:rsidRPr="00A864C4">
              <w:rPr>
                <w:sz w:val="22"/>
                <w:lang w:val="es-ES"/>
              </w:rPr>
              <w:tab/>
              <w:t xml:space="preserve">Se </w:t>
            </w:r>
            <w:r w:rsidRPr="00A864C4">
              <w:rPr>
                <w:b/>
                <w:bCs/>
                <w:sz w:val="22"/>
                <w:lang w:val="es-ES"/>
              </w:rPr>
              <w:t>aprueba</w:t>
            </w:r>
            <w:r w:rsidRPr="00A864C4">
              <w:rPr>
                <w:sz w:val="22"/>
                <w:lang w:val="es-ES"/>
              </w:rPr>
              <w:t xml:space="preserve"> el Documento 344.</w:t>
            </w:r>
          </w:p>
          <w:p w14:paraId="3CC9ED1B" w14:textId="0CBB3640" w:rsidR="00967792" w:rsidRPr="00A864C4" w:rsidRDefault="00967792" w:rsidP="00B53355">
            <w:pPr>
              <w:spacing w:before="40" w:after="40"/>
              <w:rPr>
                <w:sz w:val="22"/>
                <w:lang w:val="es-ES"/>
              </w:rPr>
            </w:pPr>
            <w:r w:rsidRPr="00A864C4">
              <w:rPr>
                <w:sz w:val="22"/>
                <w:lang w:val="es-ES"/>
              </w:rPr>
              <w:t>3.7</w:t>
            </w:r>
            <w:r w:rsidRPr="00A864C4">
              <w:rPr>
                <w:sz w:val="22"/>
                <w:lang w:val="es-ES"/>
              </w:rPr>
              <w:tab/>
              <w:t xml:space="preserve">El </w:t>
            </w:r>
            <w:r w:rsidRPr="00A864C4">
              <w:rPr>
                <w:b/>
                <w:bCs/>
                <w:sz w:val="22"/>
                <w:lang w:val="es-ES"/>
              </w:rPr>
              <w:t xml:space="preserve">delegado de </w:t>
            </w:r>
            <w:r w:rsidR="009C1C92">
              <w:rPr>
                <w:b/>
                <w:bCs/>
                <w:sz w:val="22"/>
                <w:lang w:val="es-ES"/>
              </w:rPr>
              <w:t xml:space="preserve">la </w:t>
            </w:r>
            <w:r w:rsidRPr="00A864C4">
              <w:rPr>
                <w:b/>
                <w:bCs/>
                <w:sz w:val="22"/>
                <w:lang w:val="es-ES"/>
              </w:rPr>
              <w:t>India</w:t>
            </w:r>
            <w:r w:rsidRPr="00A864C4">
              <w:rPr>
                <w:sz w:val="22"/>
                <w:lang w:val="es-ES"/>
              </w:rPr>
              <w:t xml:space="preserve"> expresa la gratitud de su administración a la Conferencia por haber examinado este asunto. La interferencia perjudicial causada por los sistemas IMT terrenales desde fuera de la India están afectando gravemente a los servicios móviles por satélite que son cruciales para el desarrollo del país, especialmente en zonas remotas y rurales. Agradece a la Comisión 5 y a sus Grupos de Trabajo y Subgrupos de Trabajo el haber examinado la propuesta de la India y espera que la CMR tome medidas para resolver el asunto. Invita al UIT-R a acelerar y completar los estudios pertinentes en el próximo ciclo. India participará activamente a este respecto y pide a los demás Estados Miembros que hagan lo mismo.</w:t>
            </w:r>
          </w:p>
        </w:tc>
        <w:tc>
          <w:tcPr>
            <w:tcW w:w="1548" w:type="pct"/>
          </w:tcPr>
          <w:p w14:paraId="13AE3946" w14:textId="51F25EAB" w:rsidR="00967792" w:rsidRPr="00266695" w:rsidDel="009440F5" w:rsidRDefault="00967792" w:rsidP="00B53355">
            <w:pPr>
              <w:pStyle w:val="Tabletext"/>
              <w:rPr>
                <w:lang w:val="es-ES"/>
              </w:rPr>
            </w:pPr>
            <w:r w:rsidRPr="00266695">
              <w:rPr>
                <w:lang w:val="es-ES"/>
              </w:rPr>
              <w:lastRenderedPageBreak/>
              <w:t>–</w:t>
            </w:r>
          </w:p>
        </w:tc>
      </w:tr>
      <w:tr w:rsidR="00967792" w:rsidRPr="00D2027A" w14:paraId="0B1D4E98" w14:textId="77777777" w:rsidTr="00924C8B">
        <w:trPr>
          <w:jc w:val="center"/>
        </w:trPr>
        <w:tc>
          <w:tcPr>
            <w:tcW w:w="183" w:type="pct"/>
          </w:tcPr>
          <w:p w14:paraId="56152A3B" w14:textId="608CFC54" w:rsidR="00967792" w:rsidRPr="00A616CA" w:rsidRDefault="00967792" w:rsidP="00B53355">
            <w:pPr>
              <w:pStyle w:val="Tabletext"/>
              <w:rPr>
                <w:lang w:val="es-ES"/>
              </w:rPr>
            </w:pPr>
            <w:r w:rsidRPr="00A616CA">
              <w:rPr>
                <w:lang w:val="es-ES"/>
              </w:rPr>
              <w:t>73</w:t>
            </w:r>
          </w:p>
        </w:tc>
        <w:tc>
          <w:tcPr>
            <w:tcW w:w="434" w:type="pct"/>
          </w:tcPr>
          <w:p w14:paraId="0501FEAA" w14:textId="3280C0A9" w:rsidR="00967792" w:rsidRPr="00A616CA" w:rsidRDefault="00967792" w:rsidP="00B53355">
            <w:pPr>
              <w:pStyle w:val="Tabletext"/>
              <w:rPr>
                <w:lang w:val="es-ES"/>
              </w:rPr>
            </w:pPr>
            <w:r w:rsidRPr="00A616CA">
              <w:rPr>
                <w:lang w:val="es-ES"/>
              </w:rPr>
              <w:t>CMR-19</w:t>
            </w:r>
          </w:p>
        </w:tc>
        <w:tc>
          <w:tcPr>
            <w:tcW w:w="523" w:type="pct"/>
          </w:tcPr>
          <w:p w14:paraId="53326251" w14:textId="25DDE492" w:rsidR="00967792" w:rsidRPr="00D2027A" w:rsidRDefault="00967792" w:rsidP="00A864C4">
            <w:pPr>
              <w:pStyle w:val="Tabletext"/>
              <w:rPr>
                <w:rFonts w:asciiTheme="majorBidi" w:hAnsiTheme="majorBidi" w:cstheme="majorBidi"/>
                <w:bCs/>
                <w:szCs w:val="24"/>
                <w:lang w:val="es-ES"/>
              </w:rPr>
            </w:pPr>
            <w:r w:rsidRPr="00D2027A">
              <w:rPr>
                <w:rFonts w:asciiTheme="majorBidi" w:hAnsiTheme="majorBidi" w:cstheme="majorBidi"/>
                <w:bCs/>
                <w:szCs w:val="24"/>
                <w:lang w:val="es-ES"/>
              </w:rPr>
              <w:t>8ª</w:t>
            </w:r>
            <w:r w:rsidRPr="00D2027A">
              <w:rPr>
                <w:rFonts w:asciiTheme="majorBidi" w:hAnsiTheme="majorBidi" w:cstheme="majorBidi"/>
                <w:bCs/>
                <w:szCs w:val="24"/>
                <w:vertAlign w:val="superscript"/>
                <w:lang w:val="es-ES"/>
              </w:rPr>
              <w:t xml:space="preserve"> </w:t>
            </w:r>
            <w:r w:rsidRPr="00A864C4">
              <w:rPr>
                <w:lang w:val="es-ES"/>
              </w:rPr>
              <w:t>Plenaria</w:t>
            </w:r>
            <w:r w:rsidR="002D0088">
              <w:rPr>
                <w:rFonts w:asciiTheme="majorBidi" w:hAnsiTheme="majorBidi" w:cstheme="majorBidi"/>
                <w:bCs/>
                <w:szCs w:val="24"/>
                <w:lang w:val="es-ES"/>
              </w:rPr>
              <w:br/>
            </w:r>
            <w:r w:rsidRPr="00D2027A">
              <w:rPr>
                <w:rFonts w:asciiTheme="majorBidi" w:hAnsiTheme="majorBidi" w:cstheme="majorBidi"/>
                <w:bCs/>
                <w:szCs w:val="24"/>
                <w:lang w:val="es-ES"/>
              </w:rPr>
              <w:t xml:space="preserve">Doc. </w:t>
            </w:r>
            <w:hyperlink r:id="rId232" w:history="1">
              <w:r w:rsidRPr="00D2027A">
                <w:rPr>
                  <w:rStyle w:val="Hyperlink"/>
                  <w:rFonts w:asciiTheme="majorBidi" w:hAnsiTheme="majorBidi" w:cstheme="majorBidi"/>
                  <w:bCs/>
                  <w:szCs w:val="24"/>
                  <w:lang w:val="es-ES"/>
                </w:rPr>
                <w:t>CMR19/569</w:t>
              </w:r>
            </w:hyperlink>
            <w:r w:rsidRPr="00D2027A">
              <w:rPr>
                <w:rFonts w:asciiTheme="majorBidi" w:hAnsiTheme="majorBidi" w:cstheme="majorBidi"/>
                <w:bCs/>
                <w:szCs w:val="24"/>
                <w:lang w:val="es-ES"/>
              </w:rPr>
              <w:t xml:space="preserve"> </w:t>
            </w:r>
          </w:p>
          <w:p w14:paraId="38938272" w14:textId="570BCBD6" w:rsidR="00967792" w:rsidRPr="00D2027A" w:rsidRDefault="00967792" w:rsidP="00A864C4">
            <w:pPr>
              <w:pStyle w:val="Tabletext"/>
              <w:rPr>
                <w:rFonts w:asciiTheme="majorBidi" w:hAnsiTheme="majorBidi" w:cstheme="majorBidi"/>
                <w:bCs/>
                <w:szCs w:val="24"/>
                <w:lang w:val="es-ES"/>
              </w:rPr>
            </w:pPr>
            <w:r w:rsidRPr="00A864C4">
              <w:rPr>
                <w:lang w:val="es-ES"/>
              </w:rPr>
              <w:t>Aprobación</w:t>
            </w:r>
            <w:r>
              <w:rPr>
                <w:rFonts w:asciiTheme="majorBidi" w:hAnsiTheme="majorBidi" w:cstheme="majorBidi"/>
                <w:bCs/>
                <w:szCs w:val="24"/>
                <w:lang w:val="es-ES"/>
              </w:rPr>
              <w:t xml:space="preserve"> del Documento</w:t>
            </w:r>
            <w:r w:rsidRPr="00D2027A">
              <w:rPr>
                <w:rFonts w:asciiTheme="majorBidi" w:hAnsiTheme="majorBidi" w:cstheme="majorBidi"/>
                <w:bCs/>
                <w:szCs w:val="24"/>
                <w:lang w:val="es-ES"/>
              </w:rPr>
              <w:t xml:space="preserve"> </w:t>
            </w:r>
            <w:hyperlink r:id="rId233" w:history="1">
              <w:r w:rsidRPr="00D2027A">
                <w:rPr>
                  <w:rStyle w:val="Hyperlink"/>
                  <w:rFonts w:asciiTheme="majorBidi" w:hAnsiTheme="majorBidi" w:cstheme="majorBidi"/>
                  <w:bCs/>
                  <w:szCs w:val="24"/>
                  <w:lang w:val="es-ES"/>
                </w:rPr>
                <w:t>CMR19/347</w:t>
              </w:r>
            </w:hyperlink>
          </w:p>
        </w:tc>
        <w:tc>
          <w:tcPr>
            <w:tcW w:w="2312" w:type="pct"/>
          </w:tcPr>
          <w:p w14:paraId="425E6BE1" w14:textId="77777777" w:rsidR="00967792" w:rsidRPr="00A864C4" w:rsidRDefault="00967792" w:rsidP="00B53355">
            <w:pPr>
              <w:spacing w:before="40" w:after="40"/>
              <w:rPr>
                <w:bCs/>
                <w:sz w:val="22"/>
                <w:lang w:val="es-ES"/>
              </w:rPr>
            </w:pPr>
            <w:r w:rsidRPr="00A864C4">
              <w:rPr>
                <w:sz w:val="22"/>
                <w:lang w:val="es-ES"/>
              </w:rPr>
              <w:t>3.8</w:t>
            </w:r>
            <w:r w:rsidRPr="00A864C4">
              <w:rPr>
                <w:sz w:val="22"/>
                <w:lang w:val="es-ES"/>
              </w:rPr>
              <w:tab/>
              <w:t xml:space="preserve">El </w:t>
            </w:r>
            <w:r w:rsidRPr="00A864C4">
              <w:rPr>
                <w:b/>
                <w:bCs/>
                <w:sz w:val="22"/>
                <w:lang w:val="es-ES"/>
              </w:rPr>
              <w:t>Presidente de la Comisión 5</w:t>
            </w:r>
            <w:r w:rsidRPr="00A864C4">
              <w:rPr>
                <w:sz w:val="22"/>
                <w:lang w:val="es-ES"/>
              </w:rPr>
              <w:t xml:space="preserve"> presenta el Documento 347, en el que figura el séptimo informe de esta Comisión a la Plenaria sobre sus conclusiones en relación con el punto 9.3 del orden del día, relativo a las medidas en respuesta a la Resolución 80 (Rev.CMR-07). Se propone que el texto siguiente, que figura en el Documento 347, se apruebe y se incluya en las actas de la Sesión Plenaria como decisión de la Conferencia:</w:t>
            </w:r>
          </w:p>
          <w:p w14:paraId="3B5D7DEA" w14:textId="77777777" w:rsidR="00967792" w:rsidRPr="00A864C4" w:rsidRDefault="00967792" w:rsidP="00B53355">
            <w:pPr>
              <w:spacing w:before="40" w:after="40"/>
              <w:rPr>
                <w:iCs/>
                <w:sz w:val="22"/>
                <w:lang w:val="es-ES"/>
              </w:rPr>
            </w:pPr>
            <w:r w:rsidRPr="00A864C4">
              <w:rPr>
                <w:sz w:val="22"/>
                <w:lang w:val="es-ES"/>
              </w:rPr>
              <w:t xml:space="preserve">«De conformidad con el punto 9.3 del orden del día de la CMR-19, la Conferencia recibió el Documento 15 de la Junta del Reglamento de Radiocomunicaciones titulado </w:t>
            </w:r>
            <w:r w:rsidRPr="00A864C4">
              <w:rPr>
                <w:i/>
                <w:sz w:val="22"/>
                <w:lang w:val="es-ES"/>
              </w:rPr>
              <w:t xml:space="preserve">Informe de la Junta del Reglamento de </w:t>
            </w:r>
            <w:r w:rsidRPr="00A864C4">
              <w:rPr>
                <w:i/>
                <w:sz w:val="22"/>
                <w:lang w:val="es-ES"/>
              </w:rPr>
              <w:lastRenderedPageBreak/>
              <w:t xml:space="preserve">Radiocomunicaciones sobre la Resolución </w:t>
            </w:r>
            <w:r w:rsidRPr="00A864C4">
              <w:rPr>
                <w:b/>
                <w:i/>
                <w:sz w:val="22"/>
                <w:lang w:val="es-ES"/>
              </w:rPr>
              <w:t>80 (Rev.CMR-07)</w:t>
            </w:r>
            <w:r w:rsidRPr="00A864C4">
              <w:rPr>
                <w:i/>
                <w:sz w:val="22"/>
                <w:lang w:val="es-ES"/>
              </w:rPr>
              <w:t>.</w:t>
            </w:r>
            <w:r w:rsidRPr="00A864C4">
              <w:rPr>
                <w:sz w:val="22"/>
                <w:lang w:val="es-ES"/>
              </w:rPr>
              <w:t xml:space="preserve"> Ese Informe resume las actividades de la RRB relacionadas con la Resolución </w:t>
            </w:r>
            <w:r w:rsidRPr="00A864C4">
              <w:rPr>
                <w:b/>
                <w:bCs/>
                <w:sz w:val="22"/>
                <w:lang w:val="es-ES"/>
              </w:rPr>
              <w:t>80</w:t>
            </w:r>
            <w:r w:rsidRPr="00A864C4">
              <w:rPr>
                <w:sz w:val="22"/>
                <w:lang w:val="es-ES"/>
              </w:rPr>
              <w:t xml:space="preserve"> </w:t>
            </w:r>
            <w:r w:rsidRPr="00A864C4">
              <w:rPr>
                <w:b/>
                <w:bCs/>
                <w:sz w:val="22"/>
                <w:lang w:val="es-ES"/>
              </w:rPr>
              <w:t>(Rev.</w:t>
            </w:r>
            <w:bookmarkStart w:id="72" w:name="_Hlk24508337"/>
            <w:r w:rsidRPr="00A864C4">
              <w:rPr>
                <w:b/>
                <w:bCs/>
                <w:sz w:val="22"/>
                <w:lang w:val="es-ES"/>
              </w:rPr>
              <w:t>CMR</w:t>
            </w:r>
            <w:bookmarkEnd w:id="72"/>
            <w:r w:rsidRPr="00A864C4">
              <w:rPr>
                <w:b/>
                <w:bCs/>
                <w:sz w:val="22"/>
                <w:lang w:val="es-ES"/>
              </w:rPr>
              <w:t>-07)</w:t>
            </w:r>
            <w:r w:rsidRPr="00A864C4">
              <w:rPr>
                <w:sz w:val="22"/>
                <w:lang w:val="es-ES"/>
              </w:rPr>
              <w:t xml:space="preserve">, </w:t>
            </w:r>
            <w:r w:rsidRPr="00A864C4">
              <w:rPr>
                <w:i/>
                <w:iCs/>
                <w:sz w:val="22"/>
                <w:lang w:val="es-ES"/>
              </w:rPr>
              <w:t>«</w:t>
            </w:r>
            <w:r w:rsidRPr="00A864C4">
              <w:rPr>
                <w:i/>
                <w:sz w:val="22"/>
                <w:lang w:val="es-ES"/>
              </w:rPr>
              <w:t>Diligencia debida en la aplicación de los principios recogidos en la Constitución»</w:t>
            </w:r>
            <w:r w:rsidRPr="00A864C4">
              <w:rPr>
                <w:iCs/>
                <w:sz w:val="22"/>
                <w:lang w:val="es-ES"/>
              </w:rPr>
              <w:t>. En el Informe a la CMR-19, la Junta proporcionó una actualización del Informe a la CMR-15 centrada en sus esfuerzos para abordar temas a los que la Junta del Reglamento de Radiocomunicaciones había hecho frente desde la CMR</w:t>
            </w:r>
            <w:r w:rsidRPr="00A864C4">
              <w:rPr>
                <w:iCs/>
                <w:sz w:val="22"/>
                <w:lang w:val="es-ES"/>
              </w:rPr>
              <w:noBreakHyphen/>
              <w:t xml:space="preserve">15 y que afectan al cumplimiento de los principios contenidos en el Artículo 44 de la Constitución y en el número </w:t>
            </w:r>
            <w:r w:rsidRPr="00A864C4">
              <w:rPr>
                <w:b/>
                <w:bCs/>
                <w:iCs/>
                <w:sz w:val="22"/>
                <w:lang w:val="es-ES"/>
              </w:rPr>
              <w:t>0.3</w:t>
            </w:r>
            <w:r w:rsidRPr="00A864C4">
              <w:rPr>
                <w:iCs/>
                <w:sz w:val="22"/>
                <w:lang w:val="es-ES"/>
              </w:rPr>
              <w:t xml:space="preserve"> del Preámbulo del Reglamento de Radiocomunicaciones.</w:t>
            </w:r>
          </w:p>
          <w:p w14:paraId="0CB4586C" w14:textId="77777777" w:rsidR="00967792" w:rsidRPr="00A864C4" w:rsidRDefault="00967792" w:rsidP="00B53355">
            <w:pPr>
              <w:spacing w:before="40" w:after="40"/>
              <w:rPr>
                <w:i/>
                <w:iCs/>
                <w:sz w:val="22"/>
                <w:lang w:val="es-ES"/>
              </w:rPr>
            </w:pPr>
            <w:r w:rsidRPr="00A864C4">
              <w:rPr>
                <w:sz w:val="22"/>
                <w:lang w:val="es-ES"/>
              </w:rPr>
              <w:t xml:space="preserve">El Informe de la Junta dice, en parte, lo siguiente: </w:t>
            </w:r>
            <w:r w:rsidRPr="00A864C4">
              <w:rPr>
                <w:i/>
                <w:iCs/>
                <w:sz w:val="22"/>
                <w:lang w:val="es-ES"/>
              </w:rPr>
              <w:t xml:space="preserve">«La Junta examinó las dudas planteadas por algunas administraciones respecto de la adecuación de la aplicación del Artículo </w:t>
            </w:r>
            <w:r w:rsidRPr="00A864C4">
              <w:rPr>
                <w:bCs/>
                <w:i/>
                <w:iCs/>
                <w:sz w:val="22"/>
                <w:lang w:val="es-ES"/>
              </w:rPr>
              <w:t>48</w:t>
            </w:r>
            <w:r w:rsidRPr="00A864C4">
              <w:rPr>
                <w:i/>
                <w:iCs/>
                <w:sz w:val="22"/>
                <w:lang w:val="es-ES"/>
              </w:rPr>
              <w:t xml:space="preserve"> de la Constitución de la UIT por otras administraciones. Los casos de supuesto incumplimiento del Artículo 48 de la Constitución sometidos a la Junta pueden resumirse como sigue:</w:t>
            </w:r>
          </w:p>
          <w:p w14:paraId="7DB0D59D" w14:textId="77777777" w:rsidR="00967792" w:rsidRPr="00A864C4" w:rsidRDefault="00967792" w:rsidP="009C1C92">
            <w:pPr>
              <w:spacing w:before="40" w:after="40"/>
              <w:ind w:left="794" w:hanging="794"/>
              <w:rPr>
                <w:sz w:val="22"/>
                <w:lang w:val="es-ES"/>
              </w:rPr>
            </w:pPr>
            <w:r w:rsidRPr="00A864C4">
              <w:rPr>
                <w:sz w:val="22"/>
                <w:lang w:val="es-ES"/>
              </w:rPr>
              <w:t>–</w:t>
            </w:r>
            <w:r w:rsidRPr="00A864C4">
              <w:rPr>
                <w:sz w:val="22"/>
                <w:lang w:val="es-ES"/>
              </w:rPr>
              <w:tab/>
            </w:r>
            <w:r w:rsidRPr="00A864C4">
              <w:rPr>
                <w:i/>
                <w:iCs/>
                <w:sz w:val="22"/>
                <w:lang w:val="es-ES"/>
              </w:rPr>
              <w:t xml:space="preserve">Administraciones que invocan el Artículo 48 de la Constitución una vez que la Oficina ha puesto en marcha una investigación en virtud del número </w:t>
            </w:r>
            <w:r w:rsidRPr="00A864C4">
              <w:rPr>
                <w:b/>
                <w:bCs/>
                <w:i/>
                <w:iCs/>
                <w:sz w:val="22"/>
                <w:lang w:val="es-ES"/>
              </w:rPr>
              <w:t>13.6</w:t>
            </w:r>
            <w:r w:rsidRPr="00A864C4">
              <w:rPr>
                <w:i/>
                <w:iCs/>
                <w:sz w:val="22"/>
                <w:lang w:val="es-ES"/>
              </w:rPr>
              <w:t xml:space="preserve"> del RR como manera de evitar la aplicación del mismo y de conservar los derechos en el Registro Internacional de Frecuencias.</w:t>
            </w:r>
          </w:p>
          <w:p w14:paraId="03FFD296" w14:textId="77777777" w:rsidR="00967792" w:rsidRPr="00A864C4" w:rsidRDefault="00967792" w:rsidP="009C1C92">
            <w:pPr>
              <w:spacing w:before="40" w:after="40"/>
              <w:ind w:left="794" w:hanging="794"/>
              <w:rPr>
                <w:sz w:val="22"/>
                <w:lang w:val="es-ES"/>
              </w:rPr>
            </w:pPr>
            <w:r w:rsidRPr="00A864C4">
              <w:rPr>
                <w:sz w:val="22"/>
                <w:lang w:val="es-ES"/>
              </w:rPr>
              <w:t>–</w:t>
            </w:r>
            <w:r w:rsidRPr="00A864C4">
              <w:rPr>
                <w:sz w:val="22"/>
                <w:lang w:val="es-ES"/>
              </w:rPr>
              <w:tab/>
            </w:r>
            <w:r w:rsidRPr="00A864C4">
              <w:rPr>
                <w:i/>
                <w:iCs/>
                <w:sz w:val="22"/>
                <w:lang w:val="es-ES"/>
              </w:rPr>
              <w:t>Administraciones que invocan el Artículo 48 de la Constitución para asignaciones de frecuencias que no se utilizan con fines militares».</w:t>
            </w:r>
          </w:p>
          <w:p w14:paraId="083E835C" w14:textId="77777777" w:rsidR="00967792" w:rsidRPr="00A864C4" w:rsidRDefault="00967792" w:rsidP="00B53355">
            <w:pPr>
              <w:spacing w:before="40" w:after="40"/>
              <w:rPr>
                <w:sz w:val="22"/>
                <w:lang w:val="es-ES"/>
              </w:rPr>
            </w:pPr>
            <w:r w:rsidRPr="00A864C4">
              <w:rPr>
                <w:sz w:val="22"/>
                <w:lang w:val="es-ES"/>
              </w:rPr>
              <w:t>En respuesta al contenido de este Informe de la Junta, la Conferencia recibió varias contribuciones de administraciones que incluían diversas medidas para su consideración por la Conferencia a fin de abordar las preocupaciones planteadas por las administraciones, aunque se entendía que ninguna de esas medidas podría ser aplicada sin una instrucción específica de una Conferencia de Plenipotenciarios a una CMR para efectivamente hacerlo.</w:t>
            </w:r>
          </w:p>
          <w:p w14:paraId="6142231B" w14:textId="77777777" w:rsidR="00967792" w:rsidRPr="00A864C4" w:rsidRDefault="00967792" w:rsidP="00B53355">
            <w:pPr>
              <w:spacing w:before="40" w:after="40"/>
              <w:rPr>
                <w:sz w:val="22"/>
                <w:lang w:val="es-ES"/>
              </w:rPr>
            </w:pPr>
            <w:r w:rsidRPr="00A864C4">
              <w:rPr>
                <w:sz w:val="22"/>
                <w:lang w:val="es-ES"/>
              </w:rPr>
              <w:t xml:space="preserve">Teniendo en cuenta el Informe de la Junta sobre la Resolución </w:t>
            </w:r>
            <w:r w:rsidRPr="00A864C4">
              <w:rPr>
                <w:b/>
                <w:sz w:val="22"/>
                <w:lang w:val="es-ES"/>
              </w:rPr>
              <w:t>80 (Rev.</w:t>
            </w:r>
            <w:r w:rsidRPr="00A864C4">
              <w:rPr>
                <w:b/>
                <w:bCs/>
                <w:sz w:val="22"/>
                <w:lang w:val="es-ES"/>
              </w:rPr>
              <w:t>CMR</w:t>
            </w:r>
            <w:r w:rsidRPr="00A864C4">
              <w:rPr>
                <w:b/>
                <w:sz w:val="22"/>
                <w:lang w:val="es-ES"/>
              </w:rPr>
              <w:t>-07)</w:t>
            </w:r>
            <w:r w:rsidRPr="00A864C4">
              <w:rPr>
                <w:sz w:val="22"/>
                <w:lang w:val="es-ES"/>
              </w:rPr>
              <w:t>, las contribuciones a la CMR-19 y los comentarios recibidos en la misma al respecto, la CMR</w:t>
            </w:r>
            <w:r w:rsidRPr="00A864C4">
              <w:rPr>
                <w:sz w:val="22"/>
                <w:lang w:val="es-ES"/>
              </w:rPr>
              <w:noBreakHyphen/>
              <w:t xml:space="preserve">19, de conformidad con el </w:t>
            </w:r>
            <w:r w:rsidRPr="00A864C4">
              <w:rPr>
                <w:sz w:val="22"/>
                <w:lang w:val="es-ES"/>
              </w:rPr>
              <w:lastRenderedPageBreak/>
              <w:t>Artículo 21 del Convenio de la UIT, invita a la Conferencia de Plenipotenciarios de 2022 a que considere la cuestión de la invocación del Artículo 48 de la Constitución en relación al Reglamento de Radiocomunicaciones planteada en la CMR-19 y que adopte, si es necesario, las medidas necesarias, según proceda.</w:t>
            </w:r>
          </w:p>
          <w:p w14:paraId="4149B5F9" w14:textId="77777777" w:rsidR="00967792" w:rsidRPr="00A864C4" w:rsidRDefault="00967792" w:rsidP="00B53355">
            <w:pPr>
              <w:spacing w:before="40" w:after="40"/>
              <w:rPr>
                <w:sz w:val="22"/>
                <w:lang w:val="es-ES"/>
              </w:rPr>
            </w:pPr>
            <w:r w:rsidRPr="00A864C4">
              <w:rPr>
                <w:sz w:val="22"/>
                <w:lang w:val="es-ES"/>
              </w:rPr>
              <w:t>Además, y a tal fin, la CMR-19 ha encargado a la Oficina que continúe su práctica actual de responder a las solicitudes específicas de las administraciones relativas a la situación de redes de satélites individuales, incluida la indicación de si se ha invocado el Artículo 48 de la Constitución para una red de satélites».</w:t>
            </w:r>
          </w:p>
          <w:p w14:paraId="43D6F244" w14:textId="77777777" w:rsidR="00967792" w:rsidRPr="00A864C4" w:rsidRDefault="00967792" w:rsidP="00B53355">
            <w:pPr>
              <w:spacing w:before="40" w:after="40"/>
              <w:rPr>
                <w:sz w:val="22"/>
                <w:lang w:val="es-ES"/>
              </w:rPr>
            </w:pPr>
            <w:bookmarkStart w:id="73" w:name="_Hlk28005578"/>
            <w:r w:rsidRPr="00A864C4">
              <w:rPr>
                <w:sz w:val="22"/>
                <w:lang w:val="es-ES"/>
              </w:rPr>
              <w:t>3.9</w:t>
            </w:r>
            <w:r w:rsidRPr="00A864C4">
              <w:rPr>
                <w:sz w:val="22"/>
                <w:lang w:val="es-ES"/>
              </w:rPr>
              <w:tab/>
              <w:t xml:space="preserve">Así se </w:t>
            </w:r>
            <w:r w:rsidRPr="00A864C4">
              <w:rPr>
                <w:b/>
                <w:bCs/>
                <w:sz w:val="22"/>
                <w:lang w:val="es-ES"/>
              </w:rPr>
              <w:t>acuerda</w:t>
            </w:r>
            <w:r w:rsidRPr="00A864C4">
              <w:rPr>
                <w:sz w:val="22"/>
                <w:lang w:val="es-ES"/>
              </w:rPr>
              <w:t>.</w:t>
            </w:r>
          </w:p>
          <w:p w14:paraId="0E001C38" w14:textId="65C4DF6C" w:rsidR="00967792" w:rsidRPr="00A864C4" w:rsidRDefault="00967792" w:rsidP="00B53355">
            <w:pPr>
              <w:spacing w:before="40" w:after="40"/>
              <w:rPr>
                <w:sz w:val="22"/>
                <w:lang w:val="es-ES"/>
              </w:rPr>
            </w:pPr>
            <w:r w:rsidRPr="00A864C4">
              <w:rPr>
                <w:sz w:val="22"/>
                <w:lang w:val="es-ES"/>
              </w:rPr>
              <w:t>3.10</w:t>
            </w:r>
            <w:r w:rsidRPr="00A864C4">
              <w:rPr>
                <w:sz w:val="22"/>
                <w:lang w:val="es-ES"/>
              </w:rPr>
              <w:tab/>
              <w:t xml:space="preserve">Se </w:t>
            </w:r>
            <w:r w:rsidRPr="00A864C4">
              <w:rPr>
                <w:b/>
                <w:bCs/>
                <w:sz w:val="22"/>
                <w:lang w:val="es-ES"/>
              </w:rPr>
              <w:t>aprueba</w:t>
            </w:r>
            <w:r w:rsidRPr="00A864C4">
              <w:rPr>
                <w:sz w:val="22"/>
                <w:lang w:val="es-ES"/>
              </w:rPr>
              <w:t xml:space="preserve"> el Documento 347.</w:t>
            </w:r>
            <w:bookmarkEnd w:id="73"/>
          </w:p>
        </w:tc>
        <w:tc>
          <w:tcPr>
            <w:tcW w:w="1548" w:type="pct"/>
          </w:tcPr>
          <w:p w14:paraId="0B0CF4F0" w14:textId="04C2C919" w:rsidR="00967792" w:rsidRPr="00266695" w:rsidDel="009440F5" w:rsidRDefault="00967792" w:rsidP="00B53355">
            <w:pPr>
              <w:pStyle w:val="Tabletext"/>
              <w:rPr>
                <w:lang w:val="es-ES"/>
              </w:rPr>
            </w:pPr>
            <w:r w:rsidRPr="00266695">
              <w:rPr>
                <w:lang w:val="es-ES"/>
              </w:rPr>
              <w:lastRenderedPageBreak/>
              <w:t>–</w:t>
            </w:r>
          </w:p>
        </w:tc>
      </w:tr>
      <w:tr w:rsidR="00967792" w:rsidRPr="00D2027A" w14:paraId="2C683717" w14:textId="77777777" w:rsidTr="00924C8B">
        <w:trPr>
          <w:jc w:val="center"/>
        </w:trPr>
        <w:tc>
          <w:tcPr>
            <w:tcW w:w="183" w:type="pct"/>
          </w:tcPr>
          <w:p w14:paraId="14D68488" w14:textId="628F5D78" w:rsidR="00967792" w:rsidRPr="00A616CA" w:rsidRDefault="00967792" w:rsidP="00B53355">
            <w:pPr>
              <w:pStyle w:val="Tabletext"/>
              <w:rPr>
                <w:lang w:val="es-ES"/>
              </w:rPr>
            </w:pPr>
            <w:r w:rsidRPr="00A616CA">
              <w:rPr>
                <w:lang w:val="es-ES"/>
              </w:rPr>
              <w:lastRenderedPageBreak/>
              <w:t>74</w:t>
            </w:r>
          </w:p>
        </w:tc>
        <w:tc>
          <w:tcPr>
            <w:tcW w:w="434" w:type="pct"/>
          </w:tcPr>
          <w:p w14:paraId="04A719D2" w14:textId="2710AF86" w:rsidR="00967792" w:rsidRPr="00A616CA" w:rsidRDefault="00967792" w:rsidP="00B53355">
            <w:pPr>
              <w:pStyle w:val="Tabletext"/>
              <w:rPr>
                <w:lang w:val="es-ES"/>
              </w:rPr>
            </w:pPr>
            <w:r w:rsidRPr="00A616CA">
              <w:rPr>
                <w:lang w:val="es-ES"/>
              </w:rPr>
              <w:t>CMR-19</w:t>
            </w:r>
          </w:p>
        </w:tc>
        <w:tc>
          <w:tcPr>
            <w:tcW w:w="523" w:type="pct"/>
          </w:tcPr>
          <w:p w14:paraId="35D47861" w14:textId="45EBAB4F" w:rsidR="00967792" w:rsidRPr="00D2027A" w:rsidRDefault="00967792" w:rsidP="00A864C4">
            <w:pPr>
              <w:pStyle w:val="Tabletext"/>
              <w:rPr>
                <w:rFonts w:asciiTheme="majorBidi" w:hAnsiTheme="majorBidi" w:cstheme="majorBidi"/>
                <w:bCs/>
                <w:szCs w:val="24"/>
                <w:lang w:val="es-ES"/>
              </w:rPr>
            </w:pPr>
            <w:r w:rsidRPr="00D2027A">
              <w:rPr>
                <w:rFonts w:asciiTheme="majorBidi" w:hAnsiTheme="majorBidi" w:cstheme="majorBidi"/>
                <w:bCs/>
                <w:szCs w:val="24"/>
                <w:lang w:val="es-ES"/>
              </w:rPr>
              <w:t>8ª</w:t>
            </w:r>
            <w:r w:rsidRPr="00D2027A">
              <w:rPr>
                <w:rFonts w:asciiTheme="majorBidi" w:hAnsiTheme="majorBidi" w:cstheme="majorBidi"/>
                <w:bCs/>
                <w:szCs w:val="24"/>
                <w:vertAlign w:val="superscript"/>
                <w:lang w:val="es-ES"/>
              </w:rPr>
              <w:t xml:space="preserve"> </w:t>
            </w:r>
            <w:r w:rsidRPr="00A864C4">
              <w:rPr>
                <w:lang w:val="es-ES"/>
              </w:rPr>
              <w:t>Plenaria</w:t>
            </w:r>
            <w:r w:rsidR="002D0088">
              <w:rPr>
                <w:rFonts w:asciiTheme="majorBidi" w:hAnsiTheme="majorBidi" w:cstheme="majorBidi"/>
                <w:bCs/>
                <w:szCs w:val="24"/>
                <w:lang w:val="es-ES"/>
              </w:rPr>
              <w:br/>
            </w:r>
            <w:r w:rsidRPr="00D2027A">
              <w:rPr>
                <w:rFonts w:asciiTheme="majorBidi" w:hAnsiTheme="majorBidi" w:cstheme="majorBidi"/>
                <w:bCs/>
                <w:szCs w:val="24"/>
                <w:lang w:val="es-ES"/>
              </w:rPr>
              <w:t xml:space="preserve">Doc. </w:t>
            </w:r>
            <w:hyperlink r:id="rId234" w:history="1">
              <w:r w:rsidRPr="00D2027A">
                <w:rPr>
                  <w:rStyle w:val="Hyperlink"/>
                  <w:rFonts w:asciiTheme="majorBidi" w:hAnsiTheme="majorBidi" w:cstheme="majorBidi"/>
                  <w:bCs/>
                  <w:szCs w:val="24"/>
                  <w:lang w:val="es-ES"/>
                </w:rPr>
                <w:t>CMR19/569</w:t>
              </w:r>
            </w:hyperlink>
            <w:r w:rsidRPr="00D2027A">
              <w:rPr>
                <w:rFonts w:asciiTheme="majorBidi" w:hAnsiTheme="majorBidi" w:cstheme="majorBidi"/>
                <w:bCs/>
                <w:szCs w:val="24"/>
                <w:lang w:val="es-ES"/>
              </w:rPr>
              <w:t xml:space="preserve"> </w:t>
            </w:r>
          </w:p>
          <w:p w14:paraId="19963A8C" w14:textId="4D05B869" w:rsidR="00967792" w:rsidRPr="00D2027A" w:rsidRDefault="00967792" w:rsidP="00A864C4">
            <w:pPr>
              <w:pStyle w:val="Tabletext"/>
              <w:rPr>
                <w:rFonts w:asciiTheme="majorBidi" w:hAnsiTheme="majorBidi" w:cstheme="majorBidi"/>
                <w:bCs/>
                <w:szCs w:val="24"/>
                <w:lang w:val="es-ES"/>
              </w:rPr>
            </w:pPr>
            <w:r w:rsidRPr="00A864C4">
              <w:rPr>
                <w:lang w:val="es-ES"/>
              </w:rPr>
              <w:t>Aprobación</w:t>
            </w:r>
            <w:r>
              <w:rPr>
                <w:rFonts w:asciiTheme="majorBidi" w:hAnsiTheme="majorBidi" w:cstheme="majorBidi"/>
                <w:bCs/>
                <w:szCs w:val="24"/>
                <w:lang w:val="es-ES"/>
              </w:rPr>
              <w:t xml:space="preserve"> del Documento</w:t>
            </w:r>
            <w:r w:rsidRPr="00D2027A">
              <w:rPr>
                <w:rFonts w:asciiTheme="majorBidi" w:hAnsiTheme="majorBidi" w:cstheme="majorBidi"/>
                <w:bCs/>
                <w:szCs w:val="24"/>
                <w:lang w:val="es-ES"/>
              </w:rPr>
              <w:t xml:space="preserve"> </w:t>
            </w:r>
            <w:hyperlink r:id="rId235" w:history="1">
              <w:r w:rsidRPr="00D2027A">
                <w:rPr>
                  <w:rStyle w:val="Hyperlink"/>
                  <w:rFonts w:asciiTheme="majorBidi" w:hAnsiTheme="majorBidi" w:cstheme="majorBidi"/>
                  <w:bCs/>
                  <w:szCs w:val="24"/>
                  <w:lang w:val="es-ES"/>
                </w:rPr>
                <w:t>CMR19/451</w:t>
              </w:r>
            </w:hyperlink>
          </w:p>
        </w:tc>
        <w:tc>
          <w:tcPr>
            <w:tcW w:w="2312" w:type="pct"/>
          </w:tcPr>
          <w:p w14:paraId="33252455" w14:textId="77777777" w:rsidR="00967792" w:rsidRPr="00A864C4" w:rsidRDefault="00967792" w:rsidP="00B53355">
            <w:pPr>
              <w:spacing w:before="40" w:after="40"/>
              <w:rPr>
                <w:bCs/>
                <w:sz w:val="22"/>
                <w:lang w:val="es-ES"/>
              </w:rPr>
            </w:pPr>
            <w:r w:rsidRPr="00A864C4">
              <w:rPr>
                <w:sz w:val="22"/>
                <w:lang w:val="es-ES"/>
              </w:rPr>
              <w:t>3.11</w:t>
            </w:r>
            <w:r w:rsidRPr="00A864C4">
              <w:rPr>
                <w:sz w:val="22"/>
                <w:lang w:val="es-ES"/>
              </w:rPr>
              <w:tab/>
              <w:t xml:space="preserve">El </w:t>
            </w:r>
            <w:r w:rsidRPr="00A864C4">
              <w:rPr>
                <w:b/>
                <w:bCs/>
                <w:sz w:val="22"/>
                <w:lang w:val="es-ES"/>
              </w:rPr>
              <w:t>Presidente de la Comisión 5</w:t>
            </w:r>
            <w:r w:rsidRPr="00A864C4">
              <w:rPr>
                <w:sz w:val="22"/>
                <w:lang w:val="es-ES"/>
              </w:rPr>
              <w:t xml:space="preserve"> presenta el Documento 451, en el que figura el octavo informe de esta Comisión 5 a la Plenaria sobre sus conclusiones en relación con el punto 9.2 del orden del día, relativo a las dificultades o incoherencias observadas en la aplicación del Reglamento de Radiocomunicaciones. Se propone que el texto siguiente, que figura en el Documento 451, se apruebe y se incluya en las actas de la Sesión Plenaria como decisión de la Conferencia.</w:t>
            </w:r>
          </w:p>
          <w:p w14:paraId="32EF8DB9" w14:textId="14EB950A" w:rsidR="00967792" w:rsidRPr="00A864C4" w:rsidRDefault="00967792" w:rsidP="00B53355">
            <w:pPr>
              <w:spacing w:before="40" w:after="40"/>
              <w:rPr>
                <w:sz w:val="22"/>
                <w:lang w:val="es-ES"/>
              </w:rPr>
            </w:pPr>
            <w:r w:rsidRPr="00A864C4">
              <w:rPr>
                <w:sz w:val="22"/>
                <w:lang w:val="es-ES"/>
              </w:rPr>
              <w:t>3.12</w:t>
            </w:r>
            <w:r w:rsidRPr="00A864C4">
              <w:rPr>
                <w:sz w:val="22"/>
                <w:lang w:val="es-ES"/>
              </w:rPr>
              <w:tab/>
            </w:r>
            <w:bookmarkStart w:id="74" w:name="lt_pId194"/>
            <w:r w:rsidRPr="00A864C4">
              <w:rPr>
                <w:sz w:val="22"/>
                <w:lang w:val="es-ES"/>
              </w:rPr>
              <w:t xml:space="preserve">El </w:t>
            </w:r>
            <w:r w:rsidRPr="00A864C4">
              <w:rPr>
                <w:b/>
                <w:bCs/>
                <w:sz w:val="22"/>
                <w:lang w:val="es-ES"/>
              </w:rPr>
              <w:t>delegado de la República Islámica del Irán</w:t>
            </w:r>
            <w:r w:rsidRPr="00A864C4">
              <w:rPr>
                <w:sz w:val="22"/>
                <w:lang w:val="es-ES"/>
              </w:rPr>
              <w:t xml:space="preserve"> hace suyo el texto, pero propone que se añada la siguiente frase en el párrafo que comienza con las palabras «Al examinar la sección 3.2.5.6...»: «La CMR</w:t>
            </w:r>
            <w:r w:rsidR="000675D8">
              <w:rPr>
                <w:sz w:val="22"/>
                <w:lang w:val="es-ES"/>
              </w:rPr>
              <w:noBreakHyphen/>
            </w:r>
            <w:r w:rsidRPr="00A864C4">
              <w:rPr>
                <w:sz w:val="22"/>
                <w:lang w:val="es-ES"/>
              </w:rPr>
              <w:t>19 decidió asimismo que la Oficina de Radiocomunicaciones no tenga en cuenta los puntos de prueba en el mar en su examen técnico y reglamentario de las comunicaciones pertinentes recibidas por la Oficina</w:t>
            </w:r>
            <w:bookmarkEnd w:id="74"/>
            <w:r w:rsidRPr="00A864C4">
              <w:rPr>
                <w:sz w:val="22"/>
                <w:lang w:val="es-ES"/>
              </w:rPr>
              <w:t>».</w:t>
            </w:r>
          </w:p>
          <w:p w14:paraId="2B1CB891" w14:textId="77777777" w:rsidR="00967792" w:rsidRPr="00A864C4" w:rsidRDefault="00967792" w:rsidP="00B53355">
            <w:pPr>
              <w:spacing w:before="40" w:after="40"/>
              <w:rPr>
                <w:sz w:val="22"/>
                <w:lang w:val="es-ES"/>
              </w:rPr>
            </w:pPr>
            <w:r w:rsidRPr="00A864C4">
              <w:rPr>
                <w:sz w:val="22"/>
                <w:lang w:val="es-ES"/>
              </w:rPr>
              <w:t>3.13</w:t>
            </w:r>
            <w:r w:rsidRPr="00A864C4">
              <w:rPr>
                <w:sz w:val="22"/>
                <w:lang w:val="es-ES"/>
              </w:rPr>
              <w:tab/>
            </w:r>
            <w:bookmarkStart w:id="75" w:name="lt_pId196"/>
            <w:r w:rsidRPr="00A864C4">
              <w:rPr>
                <w:sz w:val="22"/>
                <w:lang w:val="es-ES"/>
              </w:rPr>
              <w:t xml:space="preserve">El </w:t>
            </w:r>
            <w:r w:rsidRPr="00A864C4">
              <w:rPr>
                <w:b/>
                <w:bCs/>
                <w:sz w:val="22"/>
                <w:lang w:val="es-ES"/>
              </w:rPr>
              <w:t>Director de la BR</w:t>
            </w:r>
            <w:r w:rsidRPr="00A864C4">
              <w:rPr>
                <w:sz w:val="22"/>
                <w:lang w:val="es-ES"/>
              </w:rPr>
              <w:t xml:space="preserve"> declara que, como esa propuesta refleja la práctica habitual de la Oficina, no ve ninguna objeción a su inclusión.</w:t>
            </w:r>
            <w:bookmarkEnd w:id="75"/>
          </w:p>
          <w:p w14:paraId="07E15BA9" w14:textId="77777777" w:rsidR="00967792" w:rsidRPr="00A864C4" w:rsidRDefault="00967792" w:rsidP="00B53355">
            <w:pPr>
              <w:spacing w:before="40" w:after="40"/>
              <w:rPr>
                <w:sz w:val="22"/>
                <w:lang w:val="es-ES"/>
              </w:rPr>
            </w:pPr>
            <w:r w:rsidRPr="00A864C4">
              <w:rPr>
                <w:sz w:val="22"/>
                <w:lang w:val="es-ES"/>
              </w:rPr>
              <w:t>3.14</w:t>
            </w:r>
            <w:r w:rsidRPr="00A864C4">
              <w:rPr>
                <w:sz w:val="22"/>
                <w:lang w:val="es-ES"/>
              </w:rPr>
              <w:tab/>
            </w:r>
            <w:bookmarkStart w:id="76" w:name="lt_pId198"/>
            <w:r w:rsidRPr="00A864C4">
              <w:rPr>
                <w:sz w:val="22"/>
                <w:lang w:val="es-ES"/>
              </w:rPr>
              <w:t xml:space="preserve">Por consiguiente, se </w:t>
            </w:r>
            <w:r w:rsidRPr="00A864C4">
              <w:rPr>
                <w:b/>
                <w:bCs/>
                <w:sz w:val="22"/>
                <w:lang w:val="es-ES"/>
              </w:rPr>
              <w:t>aprueba</w:t>
            </w:r>
            <w:r w:rsidRPr="00A864C4">
              <w:rPr>
                <w:sz w:val="22"/>
                <w:lang w:val="es-ES"/>
              </w:rPr>
              <w:t xml:space="preserve"> el siguiente texto para su inclusión en el acta de la reunión como decisión de la Conferencia:</w:t>
            </w:r>
            <w:bookmarkEnd w:id="76"/>
          </w:p>
          <w:p w14:paraId="6B8612B9" w14:textId="1114E7DB" w:rsidR="00967792" w:rsidRPr="00A864C4" w:rsidRDefault="00967792" w:rsidP="00B53355">
            <w:pPr>
              <w:spacing w:before="40" w:after="40"/>
              <w:rPr>
                <w:sz w:val="22"/>
                <w:lang w:val="es-ES"/>
              </w:rPr>
            </w:pPr>
            <w:r w:rsidRPr="00A864C4">
              <w:rPr>
                <w:sz w:val="22"/>
                <w:lang w:val="es-ES"/>
              </w:rPr>
              <w:t xml:space="preserve">«De conformidad con el punto 9.2 del orden del día de la CMR-19, la Conferencia recibió el Addéndum 2 al Documento 4 del Director de la </w:t>
            </w:r>
            <w:r w:rsidRPr="00A864C4">
              <w:rPr>
                <w:sz w:val="22"/>
                <w:lang w:val="es-ES"/>
              </w:rPr>
              <w:lastRenderedPageBreak/>
              <w:t xml:space="preserve">Oficina de Radiocomunicaciones, titulado «Informe del Director sobre las actividades del Sector de Radiocomunicaciones, Parte 2». En este documento se resume la experiencia en la aplicación de los procedimientos del Reglamento de Radiocomunicaciones y otros asuntos conexos. En el Documento </w:t>
            </w:r>
            <w:hyperlink r:id="rId236" w:history="1">
              <w:r w:rsidRPr="00A864C4">
                <w:rPr>
                  <w:rStyle w:val="Hyperlink"/>
                  <w:sz w:val="22"/>
                  <w:lang w:val="es-ES"/>
                </w:rPr>
                <w:t>351</w:t>
              </w:r>
            </w:hyperlink>
            <w:r w:rsidRPr="00A864C4">
              <w:rPr>
                <w:sz w:val="22"/>
                <w:lang w:val="es-ES"/>
              </w:rPr>
              <w:t xml:space="preserve"> se han compilado los resultados conseguidos por la CMR-19 al examinar el Informe del Director.</w:t>
            </w:r>
          </w:p>
          <w:p w14:paraId="1189231E" w14:textId="77777777" w:rsidR="00967792" w:rsidRPr="00A864C4" w:rsidRDefault="00967792" w:rsidP="00B53355">
            <w:pPr>
              <w:spacing w:before="40" w:after="40"/>
              <w:rPr>
                <w:sz w:val="22"/>
                <w:lang w:val="es-ES"/>
              </w:rPr>
            </w:pPr>
            <w:r w:rsidRPr="00A864C4">
              <w:rPr>
                <w:sz w:val="22"/>
                <w:lang w:val="es-ES"/>
              </w:rPr>
              <w:t xml:space="preserve">Al examinar la sección 3.1.2.1 sobre el «Requisito de coordinación con arreglo al número </w:t>
            </w:r>
            <w:r w:rsidRPr="00A864C4">
              <w:rPr>
                <w:b/>
                <w:bCs/>
                <w:sz w:val="22"/>
                <w:lang w:val="es-ES"/>
              </w:rPr>
              <w:t>9.7</w:t>
            </w:r>
            <w:r w:rsidRPr="00A864C4">
              <w:rPr>
                <w:sz w:val="22"/>
                <w:lang w:val="es-ES"/>
              </w:rPr>
              <w:t xml:space="preserve"> del RR para un enlace entre satélites de una estación espacial en órbita geoestacionaria que establece comunicación con una estación espacial en órbita no geoestacionaria, de conformidad con el número </w:t>
            </w:r>
            <w:r w:rsidRPr="00A864C4">
              <w:rPr>
                <w:b/>
                <w:bCs/>
                <w:sz w:val="22"/>
                <w:lang w:val="es-ES"/>
              </w:rPr>
              <w:t>5.328B</w:t>
            </w:r>
            <w:r w:rsidRPr="00A864C4">
              <w:rPr>
                <w:sz w:val="22"/>
                <w:lang w:val="es-ES"/>
              </w:rPr>
              <w:t xml:space="preserve"> del RR», a fin de cumplir los requisitos del número </w:t>
            </w:r>
            <w:r w:rsidRPr="00A864C4">
              <w:rPr>
                <w:b/>
                <w:bCs/>
                <w:sz w:val="22"/>
                <w:lang w:val="es-ES"/>
              </w:rPr>
              <w:t>5.328B</w:t>
            </w:r>
            <w:r w:rsidRPr="00A864C4">
              <w:rPr>
                <w:sz w:val="22"/>
                <w:lang w:val="es-ES"/>
              </w:rPr>
              <w:t xml:space="preserve"> del RR y del § 6.4 de la Regla de Procedimiento relativa al número </w:t>
            </w:r>
            <w:r w:rsidRPr="00A864C4">
              <w:rPr>
                <w:b/>
                <w:bCs/>
                <w:sz w:val="22"/>
                <w:lang w:val="es-ES"/>
              </w:rPr>
              <w:t>11.32</w:t>
            </w:r>
            <w:r w:rsidRPr="00A864C4">
              <w:rPr>
                <w:sz w:val="22"/>
                <w:lang w:val="es-ES"/>
              </w:rPr>
              <w:t xml:space="preserve"> del RR, la CMR-19 encarga a la Oficina que determine los requisitos de coordinación para dicho enlace de una estación OSG basada en una superposición de frecuencias similar a la de una estación no OSG hasta que se establezca algún otro criterio o método.</w:t>
            </w:r>
          </w:p>
          <w:p w14:paraId="5514FC8E" w14:textId="77777777" w:rsidR="00967792" w:rsidRPr="00A864C4" w:rsidRDefault="00967792" w:rsidP="00B53355">
            <w:pPr>
              <w:spacing w:before="40" w:after="40"/>
              <w:rPr>
                <w:sz w:val="22"/>
                <w:lang w:val="es-ES"/>
              </w:rPr>
            </w:pPr>
            <w:r w:rsidRPr="00A864C4">
              <w:rPr>
                <w:sz w:val="22"/>
                <w:lang w:val="es-ES"/>
              </w:rPr>
              <w:t xml:space="preserve">Al examinar la sección 3.1.3.4 sobre el «Proyecto de base de datos CR/D disponible en la BR IFIC antes de la publicación de CR/D con arreglo al número </w:t>
            </w:r>
            <w:r w:rsidRPr="00A864C4">
              <w:rPr>
                <w:b/>
                <w:bCs/>
                <w:sz w:val="22"/>
                <w:lang w:val="es-ES"/>
              </w:rPr>
              <w:t>9.53A</w:t>
            </w:r>
            <w:r w:rsidRPr="00A864C4">
              <w:rPr>
                <w:sz w:val="22"/>
                <w:lang w:val="es-ES"/>
              </w:rPr>
              <w:t xml:space="preserve"> del RR», la CMR-19 encarga a la Oficina que cese su práctica habitual de elaborar un proyecto de CR/D.</w:t>
            </w:r>
          </w:p>
          <w:p w14:paraId="2129B871" w14:textId="77777777" w:rsidR="00967792" w:rsidRPr="00A864C4" w:rsidRDefault="00967792" w:rsidP="00B53355">
            <w:pPr>
              <w:spacing w:before="40" w:after="40"/>
              <w:rPr>
                <w:sz w:val="22"/>
                <w:lang w:val="es-ES"/>
              </w:rPr>
            </w:pPr>
            <w:r w:rsidRPr="00A864C4">
              <w:rPr>
                <w:sz w:val="22"/>
                <w:lang w:val="es-ES"/>
              </w:rPr>
              <w:t xml:space="preserve">Al examinar la sección 3.1.4.2 sobre la «Situación de coordinación de una red de satélites durante su examen con arreglo a los números </w:t>
            </w:r>
            <w:r w:rsidRPr="00A864C4">
              <w:rPr>
                <w:b/>
                <w:bCs/>
                <w:sz w:val="22"/>
                <w:lang w:val="es-ES"/>
              </w:rPr>
              <w:t>11.32</w:t>
            </w:r>
            <w:r w:rsidRPr="00A864C4">
              <w:rPr>
                <w:sz w:val="22"/>
                <w:lang w:val="es-ES"/>
              </w:rPr>
              <w:t xml:space="preserve"> y </w:t>
            </w:r>
            <w:r w:rsidRPr="00A864C4">
              <w:rPr>
                <w:b/>
                <w:bCs/>
                <w:sz w:val="22"/>
                <w:lang w:val="es-ES"/>
              </w:rPr>
              <w:t>11.32A</w:t>
            </w:r>
            <w:r w:rsidRPr="00A864C4">
              <w:rPr>
                <w:sz w:val="22"/>
                <w:lang w:val="es-ES"/>
              </w:rPr>
              <w:t xml:space="preserve"> del RR», la CMR-19 está a favor de que la Oficina prepare el </w:t>
            </w:r>
            <w:r w:rsidRPr="00A864C4">
              <w:rPr>
                <w:i/>
                <w:iCs/>
                <w:sz w:val="22"/>
                <w:lang w:val="es-ES"/>
              </w:rPr>
              <w:t>software</w:t>
            </w:r>
            <w:r w:rsidRPr="00A864C4">
              <w:rPr>
                <w:sz w:val="22"/>
                <w:lang w:val="es-ES"/>
              </w:rPr>
              <w:t xml:space="preserve"> descrito en esta sección del Informe del Director y confirma que el instrumento descrito se ajustará a las necesidades de las administraciones a la hora de comunicar el estado de coordinación con respecto a una administración afectada.</w:t>
            </w:r>
          </w:p>
          <w:p w14:paraId="58958D42" w14:textId="77777777" w:rsidR="00967792" w:rsidRPr="00A864C4" w:rsidRDefault="00967792" w:rsidP="00B53355">
            <w:pPr>
              <w:spacing w:before="40" w:after="40"/>
              <w:rPr>
                <w:sz w:val="22"/>
                <w:lang w:val="es-ES"/>
              </w:rPr>
            </w:pPr>
            <w:r w:rsidRPr="00A864C4">
              <w:rPr>
                <w:sz w:val="22"/>
                <w:lang w:val="es-ES"/>
              </w:rPr>
              <w:t xml:space="preserve">La CMR-19 encarga a la Oficina que, al realizar el examen en virtud del número </w:t>
            </w:r>
            <w:r w:rsidRPr="00A864C4">
              <w:rPr>
                <w:b/>
                <w:sz w:val="22"/>
                <w:lang w:val="es-ES"/>
              </w:rPr>
              <w:t xml:space="preserve">11.32A </w:t>
            </w:r>
            <w:r w:rsidRPr="00A864C4">
              <w:rPr>
                <w:bCs/>
                <w:sz w:val="22"/>
                <w:lang w:val="es-ES"/>
              </w:rPr>
              <w:t xml:space="preserve">del RR, tenga también en cuenta el estado de los acuerdos de coordinación con las redes de satélites de las administraciones afectadas a nivel de notificación cuando se facilite </w:t>
            </w:r>
            <w:r w:rsidRPr="00A864C4">
              <w:rPr>
                <w:bCs/>
                <w:sz w:val="22"/>
                <w:lang w:val="es-ES"/>
              </w:rPr>
              <w:lastRenderedPageBreak/>
              <w:t>dicha información, para que la administración notificante pueda beneficiarse de los acuerdos de coordinación ya obtenidos</w:t>
            </w:r>
            <w:r w:rsidRPr="00A864C4">
              <w:rPr>
                <w:sz w:val="22"/>
                <w:lang w:val="es-ES"/>
              </w:rPr>
              <w:t>.</w:t>
            </w:r>
          </w:p>
          <w:p w14:paraId="7C58FE61" w14:textId="77777777" w:rsidR="00967792" w:rsidRPr="00A864C4" w:rsidRDefault="00967792" w:rsidP="00B53355">
            <w:pPr>
              <w:spacing w:before="40" w:after="40"/>
              <w:rPr>
                <w:sz w:val="22"/>
                <w:lang w:val="es-ES"/>
              </w:rPr>
            </w:pPr>
            <w:r w:rsidRPr="00A864C4">
              <w:rPr>
                <w:sz w:val="22"/>
                <w:lang w:val="es-ES"/>
              </w:rPr>
              <w:t>La CMR-19 decidió modificar partes importantes del Apéndice </w:t>
            </w:r>
            <w:r w:rsidRPr="00A864C4">
              <w:rPr>
                <w:b/>
                <w:bCs/>
                <w:sz w:val="22"/>
                <w:lang w:val="es-ES"/>
              </w:rPr>
              <w:t>4</w:t>
            </w:r>
            <w:r w:rsidRPr="00A864C4">
              <w:rPr>
                <w:sz w:val="22"/>
                <w:lang w:val="es-ES"/>
              </w:rPr>
              <w:t xml:space="preserve"> del RR a fin de permitir ese examen.</w:t>
            </w:r>
          </w:p>
          <w:p w14:paraId="7D23D488" w14:textId="77777777" w:rsidR="00967792" w:rsidRPr="00A864C4" w:rsidRDefault="00967792" w:rsidP="00B53355">
            <w:pPr>
              <w:spacing w:before="40" w:after="40"/>
              <w:rPr>
                <w:sz w:val="22"/>
                <w:lang w:val="es-ES"/>
              </w:rPr>
            </w:pPr>
            <w:r w:rsidRPr="00A864C4">
              <w:rPr>
                <w:sz w:val="22"/>
                <w:lang w:val="es-ES"/>
              </w:rPr>
              <w:t xml:space="preserve">Al examinar la sección 3.1.4.3 sobre la «Posible revisión de la aplicación del número </w:t>
            </w:r>
            <w:r w:rsidRPr="00A864C4">
              <w:rPr>
                <w:b/>
                <w:bCs/>
                <w:sz w:val="22"/>
                <w:lang w:val="es-ES"/>
              </w:rPr>
              <w:t>11.47</w:t>
            </w:r>
            <w:r w:rsidRPr="00A864C4">
              <w:rPr>
                <w:sz w:val="22"/>
                <w:lang w:val="es-ES"/>
              </w:rPr>
              <w:t xml:space="preserve"> del RR con respecto a las inscripciones provisionales», de las dos opciones presentadas en esta sección para resolver las dificultades planteadas, la CMR-19 eligió la segunda opción de la forma que se indica a continuación:</w:t>
            </w:r>
          </w:p>
          <w:p w14:paraId="629D6B00" w14:textId="77777777" w:rsidR="00967792" w:rsidRPr="00A864C4" w:rsidRDefault="00967792" w:rsidP="00B53355">
            <w:pPr>
              <w:spacing w:before="40" w:after="40"/>
              <w:rPr>
                <w:sz w:val="22"/>
                <w:lang w:val="es-ES"/>
              </w:rPr>
            </w:pPr>
            <w:r w:rsidRPr="00A864C4">
              <w:rPr>
                <w:sz w:val="22"/>
                <w:lang w:val="es-ES"/>
              </w:rPr>
              <w:t>Se encarga a la Oficina la prórroga automática de las fechas de puesta en servicio previstas en la base de datos hasta el final del periodo reglamentario determinado en el número </w:t>
            </w:r>
            <w:r w:rsidRPr="00A864C4">
              <w:rPr>
                <w:b/>
                <w:sz w:val="22"/>
                <w:lang w:val="es-ES"/>
              </w:rPr>
              <w:t>11.44</w:t>
            </w:r>
            <w:r w:rsidRPr="00A864C4">
              <w:rPr>
                <w:sz w:val="22"/>
                <w:lang w:val="es-ES"/>
              </w:rPr>
              <w:t xml:space="preserve"> del RR si la Oficina no recibe confirmación durante los cuatro meses anteriores a la fecha prevista de puesta en servicio: no se publicará esta revisión de la fecha de puesta en servicio, pero la información podrá consultarse en el sitio web de la BR. Esta opción no exige modificación alguna del Reglamento de Radiocomunicaciones.</w:t>
            </w:r>
          </w:p>
          <w:p w14:paraId="4C1EDA1B" w14:textId="77777777" w:rsidR="00967792" w:rsidRPr="00A864C4" w:rsidRDefault="00967792" w:rsidP="00B53355">
            <w:pPr>
              <w:spacing w:before="40" w:after="40"/>
              <w:rPr>
                <w:sz w:val="22"/>
                <w:lang w:val="es-ES"/>
              </w:rPr>
            </w:pPr>
            <w:r w:rsidRPr="00A864C4">
              <w:rPr>
                <w:sz w:val="22"/>
                <w:lang w:val="es-ES"/>
              </w:rPr>
              <w:t>Al examinar la sección 3.1.7.1 sobre los «Límites de densidad de flujo de potencia (dfp) del Artículo </w:t>
            </w:r>
            <w:r w:rsidRPr="00A864C4">
              <w:rPr>
                <w:b/>
                <w:bCs/>
                <w:sz w:val="22"/>
                <w:lang w:val="es-ES"/>
              </w:rPr>
              <w:t>21</w:t>
            </w:r>
            <w:r w:rsidRPr="00A864C4">
              <w:rPr>
                <w:sz w:val="22"/>
                <w:lang w:val="es-ES"/>
              </w:rPr>
              <w:t xml:space="preserve"> del RR aplicables al servicio móvil por satélite en la banda de frecuencias 40</w:t>
            </w:r>
            <w:r w:rsidRPr="00A864C4">
              <w:rPr>
                <w:sz w:val="22"/>
                <w:lang w:val="es-ES"/>
              </w:rPr>
              <w:noBreakHyphen/>
              <w:t xml:space="preserve">40,5 GHz», la CMR-19 decidió restablecer la mención omitida al servicio móvil por satélite en la banda de frecuencias 40-40,5 GHz en el Cuadro </w:t>
            </w:r>
            <w:r w:rsidRPr="00A864C4">
              <w:rPr>
                <w:b/>
                <w:bCs/>
                <w:sz w:val="22"/>
                <w:lang w:val="es-ES"/>
              </w:rPr>
              <w:t>21-4</w:t>
            </w:r>
            <w:r w:rsidRPr="00A864C4">
              <w:rPr>
                <w:sz w:val="22"/>
                <w:lang w:val="es-ES"/>
              </w:rPr>
              <w:t xml:space="preserve"> del RR y que este cambio en el Cuadro </w:t>
            </w:r>
            <w:r w:rsidRPr="00A864C4">
              <w:rPr>
                <w:b/>
                <w:bCs/>
                <w:sz w:val="22"/>
                <w:lang w:val="es-ES"/>
              </w:rPr>
              <w:t>21</w:t>
            </w:r>
            <w:r w:rsidRPr="00A864C4">
              <w:rPr>
                <w:b/>
                <w:bCs/>
                <w:sz w:val="22"/>
                <w:lang w:val="es-ES"/>
              </w:rPr>
              <w:noBreakHyphen/>
              <w:t>4</w:t>
            </w:r>
            <w:r w:rsidRPr="00A864C4">
              <w:rPr>
                <w:sz w:val="22"/>
                <w:lang w:val="es-ES"/>
              </w:rPr>
              <w:t xml:space="preserve"> entre en vigor el 23 de noviembre de 2019. Además, la CMR-19 decidió encargar a la Oficina que no examine las asignaciones de frecuencias al SMS que ya estén publicadas en el momento en que ese restablecimiento entre en vigor.</w:t>
            </w:r>
          </w:p>
          <w:p w14:paraId="56A2285B" w14:textId="77777777" w:rsidR="00967792" w:rsidRPr="00A864C4" w:rsidRDefault="00967792" w:rsidP="00B53355">
            <w:pPr>
              <w:spacing w:before="40" w:after="40"/>
              <w:rPr>
                <w:sz w:val="22"/>
                <w:lang w:val="es-ES"/>
              </w:rPr>
            </w:pPr>
            <w:r w:rsidRPr="00A864C4">
              <w:rPr>
                <w:sz w:val="22"/>
                <w:lang w:val="es-ES"/>
              </w:rPr>
              <w:t>Al examinar la sección 3.1.7.2 sobre el «Factor de escala en la definición de los límites de dfp del Artículo </w:t>
            </w:r>
            <w:r w:rsidRPr="00A864C4">
              <w:rPr>
                <w:b/>
                <w:bCs/>
                <w:sz w:val="22"/>
                <w:lang w:val="es-ES"/>
              </w:rPr>
              <w:t>21</w:t>
            </w:r>
            <w:r w:rsidRPr="00A864C4">
              <w:rPr>
                <w:sz w:val="22"/>
                <w:lang w:val="es-ES"/>
              </w:rPr>
              <w:t xml:space="preserve"> del RR aplicables a los sistemas de satélites no OSG del servicio fijo por satélite en la banda de frecuencias 17,7-19,3 GHz», la CMR-19 invita al UIT-R a que estudie la idoneidad de las ecuaciones incluidas en el número </w:t>
            </w:r>
            <w:r w:rsidRPr="00A864C4">
              <w:rPr>
                <w:b/>
                <w:sz w:val="22"/>
                <w:lang w:val="es-ES"/>
              </w:rPr>
              <w:t>21.16.6</w:t>
            </w:r>
            <w:r w:rsidRPr="00A864C4">
              <w:rPr>
                <w:sz w:val="22"/>
                <w:lang w:val="es-ES"/>
              </w:rPr>
              <w:t xml:space="preserve"> del RR para grandes sistemas de satélites no geoestacionarios (por ejemplo, los que tienen más de 1 000 satélites). Los resultados de los estudios podrán ser considerados por la CMR-23 en el marco del </w:t>
            </w:r>
            <w:r w:rsidRPr="00A864C4">
              <w:rPr>
                <w:sz w:val="22"/>
                <w:lang w:val="es-ES"/>
              </w:rPr>
              <w:lastRenderedPageBreak/>
              <w:t xml:space="preserve">punto permanente 7 del orden del día, si se ha incluido algún tema en ese punto del orden del día en el Informe de la RPC-23. La CMR-19 también encarga a la Oficina de Radiocomunicaciones que publique conclusiones favorables cualificadas en virtud de los números </w:t>
            </w:r>
            <w:r w:rsidRPr="00A864C4">
              <w:rPr>
                <w:b/>
                <w:sz w:val="22"/>
                <w:lang w:val="es-ES"/>
              </w:rPr>
              <w:t>9.35</w:t>
            </w:r>
            <w:r w:rsidRPr="00A864C4">
              <w:rPr>
                <w:sz w:val="22"/>
                <w:lang w:val="es-ES"/>
              </w:rPr>
              <w:t>/</w:t>
            </w:r>
            <w:r w:rsidRPr="00A864C4">
              <w:rPr>
                <w:b/>
                <w:sz w:val="22"/>
                <w:lang w:val="es-ES"/>
              </w:rPr>
              <w:t>11.31</w:t>
            </w:r>
            <w:r w:rsidRPr="00A864C4">
              <w:rPr>
                <w:sz w:val="22"/>
                <w:lang w:val="es-ES"/>
              </w:rPr>
              <w:t xml:space="preserve"> del RR al examinar el cumplimiento de las asignaciones de frecuencias a los sistemas de satélites no OSG del SFS con los límites de dfp del Artículo </w:t>
            </w:r>
            <w:r w:rsidRPr="00A864C4">
              <w:rPr>
                <w:b/>
                <w:sz w:val="22"/>
                <w:lang w:val="es-ES"/>
              </w:rPr>
              <w:t>21</w:t>
            </w:r>
            <w:r w:rsidRPr="00A864C4">
              <w:rPr>
                <w:sz w:val="22"/>
                <w:lang w:val="es-ES"/>
              </w:rPr>
              <w:t xml:space="preserve"> del RR que se apliquen en la banda de frecuencias 17,7-19,3 GHz, si la administración notificante así lo solicita. Esta práctica se aplicará a los sistemas de satélites no OSG del SFS para los que se hayan recibido solicitudes de coordinación desde el 23 de noviembre de 2019 hasta el último día de la CMR-23.</w:t>
            </w:r>
          </w:p>
          <w:p w14:paraId="25F31024" w14:textId="77777777" w:rsidR="00967792" w:rsidRPr="00A864C4" w:rsidRDefault="00967792" w:rsidP="00B53355">
            <w:pPr>
              <w:spacing w:before="40" w:after="40"/>
              <w:rPr>
                <w:sz w:val="22"/>
                <w:lang w:val="es-ES"/>
              </w:rPr>
            </w:pPr>
            <w:r w:rsidRPr="00A864C4">
              <w:rPr>
                <w:sz w:val="22"/>
                <w:lang w:val="es-ES"/>
              </w:rPr>
              <w:t>Al examinar la sección 3.2.5.6 sobre los «Puntos de retícula en el mar en el examen con los métodos del Anexo 4 del Apéndice </w:t>
            </w:r>
            <w:r w:rsidRPr="00A864C4">
              <w:rPr>
                <w:b/>
                <w:bCs/>
                <w:sz w:val="22"/>
                <w:lang w:val="es-ES"/>
              </w:rPr>
              <w:t>30B</w:t>
            </w:r>
            <w:r w:rsidRPr="00A864C4">
              <w:rPr>
                <w:sz w:val="22"/>
                <w:lang w:val="es-ES"/>
              </w:rPr>
              <w:t xml:space="preserve"> del RR», la CMR-19 decidió que, en aplicación del punto 2.2 del Anexo 4 al Apéndice </w:t>
            </w:r>
            <w:r w:rsidRPr="00A864C4">
              <w:rPr>
                <w:b/>
                <w:bCs/>
                <w:sz w:val="22"/>
                <w:lang w:val="es-ES"/>
              </w:rPr>
              <w:t>30B</w:t>
            </w:r>
            <w:r w:rsidRPr="00A864C4">
              <w:rPr>
                <w:sz w:val="22"/>
                <w:lang w:val="es-ES"/>
              </w:rPr>
              <w:t xml:space="preserve">, además de los puntos de prueba, sólo deben considerarse los puntos de la retícula situados en tierra y dentro de la zona de servicio. Al adoptar esta decisión, la CMR-19 reconoció que, en caso de que se amplíe la aplicación del Apéndice </w:t>
            </w:r>
            <w:r w:rsidRPr="00A864C4">
              <w:rPr>
                <w:b/>
                <w:bCs/>
                <w:sz w:val="22"/>
                <w:lang w:val="es-ES"/>
              </w:rPr>
              <w:t>30B</w:t>
            </w:r>
            <w:r w:rsidRPr="00A864C4">
              <w:rPr>
                <w:sz w:val="22"/>
                <w:lang w:val="es-ES"/>
              </w:rPr>
              <w:t xml:space="preserve"> más allá de su utilización actual, puede ser necesario reconsiderar esta decisión en el futuro.</w:t>
            </w:r>
            <w:bookmarkStart w:id="77" w:name="lt_pId217"/>
            <w:r w:rsidRPr="00A864C4">
              <w:rPr>
                <w:sz w:val="22"/>
                <w:lang w:val="es-ES"/>
              </w:rPr>
              <w:t xml:space="preserve"> La CMR-19 decidió asimismo que la Oficina de Radiocomunicaciones no tendrá en cuenta los puntos de prueba en el mar en su examen técnico y reglamentario de las comunicaciones pertinentes recibidas por la Oficina.</w:t>
            </w:r>
            <w:bookmarkEnd w:id="77"/>
          </w:p>
          <w:p w14:paraId="78BEE9D3" w14:textId="14C3FB58" w:rsidR="00967792" w:rsidRPr="00A864C4" w:rsidRDefault="00967792" w:rsidP="00B53355">
            <w:pPr>
              <w:spacing w:before="40" w:after="40"/>
              <w:rPr>
                <w:sz w:val="22"/>
                <w:lang w:val="es-ES"/>
              </w:rPr>
            </w:pPr>
            <w:r w:rsidRPr="00A864C4">
              <w:rPr>
                <w:sz w:val="22"/>
                <w:lang w:val="es-ES"/>
              </w:rPr>
              <w:t xml:space="preserve">Al examinar la sección 3.3.1 sobre la «Resolución </w:t>
            </w:r>
            <w:r w:rsidRPr="00A864C4">
              <w:rPr>
                <w:b/>
                <w:bCs/>
                <w:sz w:val="22"/>
                <w:lang w:val="es-ES"/>
              </w:rPr>
              <w:t>49 (Rev.CMR</w:t>
            </w:r>
            <w:r w:rsidR="002D0088">
              <w:rPr>
                <w:b/>
                <w:bCs/>
                <w:sz w:val="22"/>
                <w:lang w:val="es-ES"/>
              </w:rPr>
              <w:noBreakHyphen/>
            </w:r>
            <w:r w:rsidRPr="00A864C4">
              <w:rPr>
                <w:b/>
                <w:bCs/>
                <w:sz w:val="22"/>
                <w:lang w:val="es-ES"/>
              </w:rPr>
              <w:t>15)</w:t>
            </w:r>
            <w:r w:rsidRPr="00A864C4">
              <w:rPr>
                <w:sz w:val="22"/>
                <w:lang w:val="es-ES"/>
              </w:rPr>
              <w:t>», la CMR-19 decidió invitar al UIT-R a que estudie la cuestión de la necesidad de actualizar continuamente los datos de la Resolución </w:t>
            </w:r>
            <w:r w:rsidRPr="00A864C4">
              <w:rPr>
                <w:b/>
                <w:bCs/>
                <w:sz w:val="22"/>
                <w:lang w:val="es-ES"/>
              </w:rPr>
              <w:t>49</w:t>
            </w:r>
            <w:r w:rsidRPr="00A864C4">
              <w:rPr>
                <w:sz w:val="22"/>
                <w:lang w:val="es-ES"/>
              </w:rPr>
              <w:t xml:space="preserve"> </w:t>
            </w:r>
            <w:r w:rsidRPr="00A864C4">
              <w:rPr>
                <w:b/>
                <w:bCs/>
                <w:sz w:val="22"/>
                <w:lang w:val="es-ES"/>
              </w:rPr>
              <w:t>(Rev.CMR-15)</w:t>
            </w:r>
            <w:r w:rsidRPr="00A864C4">
              <w:rPr>
                <w:sz w:val="22"/>
                <w:lang w:val="es-ES"/>
              </w:rPr>
              <w:t xml:space="preserve"> y de racionalizar la presentación de los datos de la Resolución </w:t>
            </w:r>
            <w:r w:rsidRPr="00A864C4">
              <w:rPr>
                <w:b/>
                <w:bCs/>
                <w:sz w:val="22"/>
                <w:lang w:val="es-ES"/>
              </w:rPr>
              <w:t>49 (Rev.CMR-15)</w:t>
            </w:r>
            <w:r w:rsidRPr="00A864C4">
              <w:rPr>
                <w:sz w:val="22"/>
                <w:lang w:val="es-ES"/>
              </w:rPr>
              <w:t>.</w:t>
            </w:r>
          </w:p>
          <w:p w14:paraId="4F1D3F0F" w14:textId="77777777" w:rsidR="00967792" w:rsidRPr="00A864C4" w:rsidRDefault="00967792" w:rsidP="00B53355">
            <w:pPr>
              <w:spacing w:before="40" w:after="40"/>
              <w:rPr>
                <w:sz w:val="22"/>
                <w:lang w:val="es-ES"/>
              </w:rPr>
            </w:pPr>
            <w:r w:rsidRPr="00A864C4">
              <w:rPr>
                <w:sz w:val="22"/>
                <w:lang w:val="es-ES"/>
              </w:rPr>
              <w:t>Al examinar la sección 3.4.2 sobre las «Estaciones terrenas características en el servicio fijo por satélite», la CMR-19 encarga a la Oficina que ponga fin a la recopilación de información sobre estaciones terrenas típicas en el servicio fijo por satélite.</w:t>
            </w:r>
          </w:p>
          <w:p w14:paraId="30090295" w14:textId="126DC932" w:rsidR="00967792" w:rsidRPr="00A864C4" w:rsidRDefault="00967792" w:rsidP="00B53355">
            <w:pPr>
              <w:spacing w:before="40" w:after="40"/>
              <w:rPr>
                <w:sz w:val="22"/>
                <w:lang w:val="es-ES"/>
              </w:rPr>
            </w:pPr>
            <w:r w:rsidRPr="00A864C4">
              <w:rPr>
                <w:sz w:val="22"/>
                <w:lang w:val="es-ES"/>
              </w:rPr>
              <w:t>Al examinar la sección 3.4.3 sobre los «Parámetros excesivos», la CMR</w:t>
            </w:r>
            <w:r w:rsidR="000675D8">
              <w:rPr>
                <w:sz w:val="22"/>
                <w:lang w:val="es-ES"/>
              </w:rPr>
              <w:noBreakHyphen/>
            </w:r>
            <w:r w:rsidRPr="00A864C4">
              <w:rPr>
                <w:sz w:val="22"/>
                <w:lang w:val="es-ES"/>
              </w:rPr>
              <w:t xml:space="preserve">19 invita al UIT-R a que revise los parámetros examinados en </w:t>
            </w:r>
            <w:r w:rsidRPr="00A864C4">
              <w:rPr>
                <w:sz w:val="22"/>
                <w:lang w:val="es-ES"/>
              </w:rPr>
              <w:lastRenderedPageBreak/>
              <w:t>esta sección del Informe en el próximo ciclo de estudios y a que proporcione las orientaciones pertinentes a la Oficina».</w:t>
            </w:r>
          </w:p>
          <w:p w14:paraId="3350DB9C" w14:textId="1214D32F" w:rsidR="00967792" w:rsidRPr="00A864C4" w:rsidRDefault="00967792" w:rsidP="00B53355">
            <w:pPr>
              <w:spacing w:before="40" w:after="40"/>
              <w:rPr>
                <w:sz w:val="22"/>
                <w:lang w:val="es-ES"/>
              </w:rPr>
            </w:pPr>
            <w:r w:rsidRPr="00A864C4">
              <w:rPr>
                <w:sz w:val="22"/>
                <w:lang w:val="es-ES"/>
              </w:rPr>
              <w:t>3.15</w:t>
            </w:r>
            <w:r w:rsidRPr="00A864C4">
              <w:rPr>
                <w:sz w:val="22"/>
                <w:lang w:val="es-ES"/>
              </w:rPr>
              <w:tab/>
            </w:r>
            <w:bookmarkStart w:id="78" w:name="lt_pId222"/>
            <w:r w:rsidRPr="00A864C4">
              <w:rPr>
                <w:sz w:val="22"/>
                <w:lang w:val="es-ES"/>
              </w:rPr>
              <w:t xml:space="preserve">Se </w:t>
            </w:r>
            <w:r w:rsidRPr="00A864C4">
              <w:rPr>
                <w:b/>
                <w:bCs/>
                <w:sz w:val="22"/>
                <w:lang w:val="es-ES"/>
              </w:rPr>
              <w:t>aprueba</w:t>
            </w:r>
            <w:r w:rsidRPr="00A864C4">
              <w:rPr>
                <w:sz w:val="22"/>
                <w:lang w:val="es-ES"/>
              </w:rPr>
              <w:t xml:space="preserve"> el Documento 451, con las modificaciones introducidas.</w:t>
            </w:r>
            <w:bookmarkEnd w:id="78"/>
          </w:p>
        </w:tc>
        <w:tc>
          <w:tcPr>
            <w:tcW w:w="1548" w:type="pct"/>
          </w:tcPr>
          <w:p w14:paraId="38839E99" w14:textId="3FD90FD5" w:rsidR="00967792" w:rsidRPr="00D2027A" w:rsidDel="009440F5" w:rsidRDefault="00967792" w:rsidP="00B53355">
            <w:pPr>
              <w:pStyle w:val="Tabletext"/>
              <w:rPr>
                <w:rFonts w:asciiTheme="majorBidi" w:hAnsiTheme="majorBidi" w:cstheme="majorBidi"/>
                <w:szCs w:val="24"/>
                <w:lang w:val="es-ES"/>
              </w:rPr>
            </w:pPr>
            <w:r w:rsidRPr="007576BD">
              <w:rPr>
                <w:rFonts w:asciiTheme="majorBidi" w:hAnsiTheme="majorBidi" w:cstheme="majorBidi"/>
                <w:bCs/>
                <w:lang w:val="es-ES"/>
              </w:rPr>
              <w:lastRenderedPageBreak/>
              <w:t xml:space="preserve">La </w:t>
            </w:r>
            <w:r w:rsidRPr="00266695">
              <w:rPr>
                <w:lang w:val="es-ES"/>
              </w:rPr>
              <w:t>Junta</w:t>
            </w:r>
            <w:r w:rsidRPr="007576BD">
              <w:rPr>
                <w:rFonts w:asciiTheme="majorBidi" w:hAnsiTheme="majorBidi" w:cstheme="majorBidi"/>
                <w:bCs/>
                <w:lang w:val="es-ES"/>
              </w:rPr>
              <w:t xml:space="preserve"> decide incluir la decisión como nota</w:t>
            </w:r>
            <w:r>
              <w:rPr>
                <w:rFonts w:asciiTheme="majorBidi" w:hAnsiTheme="majorBidi" w:cstheme="majorBidi"/>
                <w:bCs/>
                <w:lang w:val="es-ES"/>
              </w:rPr>
              <w:t>s</w:t>
            </w:r>
            <w:r w:rsidRPr="007576BD">
              <w:rPr>
                <w:rFonts w:asciiTheme="majorBidi" w:hAnsiTheme="majorBidi" w:cstheme="majorBidi"/>
                <w:bCs/>
                <w:lang w:val="es-ES"/>
              </w:rPr>
              <w:t xml:space="preserve"> en la</w:t>
            </w:r>
            <w:r>
              <w:rPr>
                <w:rFonts w:asciiTheme="majorBidi" w:hAnsiTheme="majorBidi" w:cstheme="majorBidi"/>
                <w:bCs/>
                <w:lang w:val="es-ES"/>
              </w:rPr>
              <w:t>s</w:t>
            </w:r>
            <w:r w:rsidRPr="007576BD">
              <w:rPr>
                <w:rFonts w:asciiTheme="majorBidi" w:hAnsiTheme="majorBidi" w:cstheme="majorBidi"/>
                <w:bCs/>
                <w:lang w:val="es-ES"/>
              </w:rPr>
              <w:t xml:space="preserve"> Regla</w:t>
            </w:r>
            <w:r>
              <w:rPr>
                <w:rFonts w:asciiTheme="majorBidi" w:hAnsiTheme="majorBidi" w:cstheme="majorBidi"/>
                <w:bCs/>
                <w:lang w:val="es-ES"/>
              </w:rPr>
              <w:t>s</w:t>
            </w:r>
            <w:r w:rsidRPr="007576BD">
              <w:rPr>
                <w:rFonts w:asciiTheme="majorBidi" w:hAnsiTheme="majorBidi" w:cstheme="majorBidi"/>
                <w:bCs/>
                <w:lang w:val="es-ES"/>
              </w:rPr>
              <w:t xml:space="preserve"> de Procedimiento</w:t>
            </w:r>
            <w:r>
              <w:rPr>
                <w:rFonts w:asciiTheme="majorBidi" w:hAnsiTheme="majorBidi" w:cstheme="majorBidi"/>
                <w:bCs/>
                <w:lang w:val="es-ES"/>
              </w:rPr>
              <w:t xml:space="preserve"> pertinentes</w:t>
            </w:r>
            <w:r w:rsidRPr="007576BD">
              <w:rPr>
                <w:rFonts w:asciiTheme="majorBidi" w:hAnsiTheme="majorBidi" w:cstheme="majorBidi"/>
                <w:bCs/>
                <w:lang w:val="es-ES"/>
              </w:rPr>
              <w:t xml:space="preserve"> correspondiente</w:t>
            </w:r>
            <w:r>
              <w:rPr>
                <w:rFonts w:asciiTheme="majorBidi" w:hAnsiTheme="majorBidi" w:cstheme="majorBidi"/>
                <w:bCs/>
                <w:lang w:val="es-ES"/>
              </w:rPr>
              <w:t>s</w:t>
            </w:r>
            <w:r w:rsidRPr="007576BD">
              <w:rPr>
                <w:rFonts w:asciiTheme="majorBidi" w:hAnsiTheme="majorBidi" w:cstheme="majorBidi"/>
                <w:bCs/>
                <w:lang w:val="es-ES"/>
              </w:rPr>
              <w:t xml:space="preserve"> </w:t>
            </w:r>
            <w:r>
              <w:rPr>
                <w:rFonts w:asciiTheme="majorBidi" w:hAnsiTheme="majorBidi" w:cstheme="majorBidi"/>
                <w:bCs/>
                <w:lang w:val="es-ES"/>
              </w:rPr>
              <w:t>a los</w:t>
            </w:r>
            <w:r w:rsidRPr="007576BD">
              <w:rPr>
                <w:rFonts w:asciiTheme="majorBidi" w:hAnsiTheme="majorBidi" w:cstheme="majorBidi"/>
                <w:bCs/>
                <w:lang w:val="es-ES"/>
              </w:rPr>
              <w:t xml:space="preserve"> núm</w:t>
            </w:r>
            <w:r w:rsidR="00A864C4">
              <w:rPr>
                <w:rFonts w:asciiTheme="majorBidi" w:hAnsiTheme="majorBidi" w:cstheme="majorBidi"/>
                <w:bCs/>
                <w:lang w:val="es-ES"/>
              </w:rPr>
              <w:t>eros</w:t>
            </w:r>
            <w:r w:rsidRPr="007576BD">
              <w:rPr>
                <w:rFonts w:asciiTheme="majorBidi" w:hAnsiTheme="majorBidi" w:cstheme="majorBidi"/>
                <w:bCs/>
                <w:lang w:val="es-ES"/>
              </w:rPr>
              <w:t xml:space="preserve"> </w:t>
            </w:r>
            <w:r w:rsidRPr="009C1C92">
              <w:rPr>
                <w:rFonts w:asciiTheme="majorBidi" w:hAnsiTheme="majorBidi" w:cstheme="majorBidi"/>
                <w:b/>
                <w:lang w:val="es-ES"/>
              </w:rPr>
              <w:t>9.11A</w:t>
            </w:r>
            <w:r>
              <w:rPr>
                <w:rFonts w:asciiTheme="majorBidi" w:hAnsiTheme="majorBidi" w:cstheme="majorBidi"/>
                <w:bCs/>
                <w:lang w:val="es-ES"/>
              </w:rPr>
              <w:t xml:space="preserve">, </w:t>
            </w:r>
            <w:r w:rsidRPr="009C1C92">
              <w:rPr>
                <w:rFonts w:asciiTheme="majorBidi" w:hAnsiTheme="majorBidi" w:cstheme="majorBidi"/>
                <w:b/>
                <w:lang w:val="es-ES"/>
              </w:rPr>
              <w:t>11.31</w:t>
            </w:r>
            <w:r>
              <w:rPr>
                <w:rFonts w:asciiTheme="majorBidi" w:hAnsiTheme="majorBidi" w:cstheme="majorBidi"/>
                <w:bCs/>
                <w:lang w:val="es-ES"/>
              </w:rPr>
              <w:t xml:space="preserve"> y </w:t>
            </w:r>
            <w:r w:rsidRPr="009C1C92">
              <w:rPr>
                <w:rFonts w:asciiTheme="majorBidi" w:hAnsiTheme="majorBidi" w:cstheme="majorBidi"/>
                <w:b/>
                <w:lang w:val="es-ES"/>
              </w:rPr>
              <w:t>11.47</w:t>
            </w:r>
            <w:r>
              <w:rPr>
                <w:rFonts w:asciiTheme="majorBidi" w:hAnsiTheme="majorBidi" w:cstheme="majorBidi"/>
                <w:bCs/>
                <w:lang w:val="es-ES"/>
              </w:rPr>
              <w:t xml:space="preserve">, y Apéndice </w:t>
            </w:r>
            <w:r w:rsidRPr="009C1C92">
              <w:rPr>
                <w:rFonts w:asciiTheme="majorBidi" w:hAnsiTheme="majorBidi" w:cstheme="majorBidi"/>
                <w:b/>
                <w:lang w:val="es-ES"/>
              </w:rPr>
              <w:t>30B</w:t>
            </w:r>
            <w:r>
              <w:rPr>
                <w:rFonts w:asciiTheme="majorBidi" w:hAnsiTheme="majorBidi" w:cstheme="majorBidi"/>
                <w:bCs/>
                <w:lang w:val="es-ES"/>
              </w:rPr>
              <w:t>,</w:t>
            </w:r>
            <w:r w:rsidRPr="007576BD">
              <w:rPr>
                <w:rFonts w:asciiTheme="majorBidi" w:hAnsiTheme="majorBidi" w:cstheme="majorBidi"/>
                <w:bCs/>
                <w:lang w:val="es-ES"/>
              </w:rPr>
              <w:t xml:space="preserve"> del RR en su </w:t>
            </w:r>
            <w:r>
              <w:rPr>
                <w:rFonts w:asciiTheme="majorBidi" w:hAnsiTheme="majorBidi" w:cstheme="majorBidi"/>
                <w:bCs/>
                <w:lang w:val="es-ES"/>
              </w:rPr>
              <w:t>85</w:t>
            </w:r>
            <w:r w:rsidRPr="007576BD">
              <w:rPr>
                <w:rFonts w:asciiTheme="majorBidi" w:hAnsiTheme="majorBidi" w:cstheme="majorBidi"/>
                <w:bCs/>
                <w:lang w:val="es-ES"/>
              </w:rPr>
              <w:t>ª</w:t>
            </w:r>
            <w:r w:rsidR="009C1C92">
              <w:rPr>
                <w:rFonts w:asciiTheme="majorBidi" w:hAnsiTheme="majorBidi" w:cstheme="majorBidi"/>
                <w:bCs/>
                <w:lang w:val="es-ES"/>
              </w:rPr>
              <w:t> </w:t>
            </w:r>
            <w:r w:rsidRPr="007576BD">
              <w:rPr>
                <w:rFonts w:asciiTheme="majorBidi" w:hAnsiTheme="majorBidi" w:cstheme="majorBidi"/>
                <w:bCs/>
                <w:lang w:val="es-ES"/>
              </w:rPr>
              <w:t>reunión</w:t>
            </w:r>
            <w:r w:rsidRPr="00D2027A">
              <w:rPr>
                <w:rFonts w:asciiTheme="majorBidi" w:hAnsiTheme="majorBidi" w:cstheme="majorBidi"/>
                <w:bCs/>
                <w:lang w:val="es-ES"/>
              </w:rPr>
              <w:t xml:space="preserve"> (</w:t>
            </w:r>
            <w:hyperlink r:id="rId237" w:history="1">
              <w:r w:rsidRPr="00D2027A">
                <w:rPr>
                  <w:rStyle w:val="Hyperlink"/>
                  <w:rFonts w:asciiTheme="majorBidi" w:hAnsiTheme="majorBidi" w:cstheme="majorBidi"/>
                  <w:bCs/>
                  <w:lang w:val="es-ES"/>
                </w:rPr>
                <w:t>CR/471</w:t>
              </w:r>
            </w:hyperlink>
            <w:r w:rsidRPr="00D2027A">
              <w:rPr>
                <w:rFonts w:asciiTheme="majorBidi" w:hAnsiTheme="majorBidi" w:cstheme="majorBidi"/>
                <w:bCs/>
                <w:lang w:val="es-ES"/>
              </w:rPr>
              <w:t>).</w:t>
            </w:r>
          </w:p>
        </w:tc>
      </w:tr>
      <w:tr w:rsidR="00967792" w:rsidRPr="00D2027A" w14:paraId="0FCF20D8" w14:textId="77777777" w:rsidTr="00924C8B">
        <w:trPr>
          <w:jc w:val="center"/>
        </w:trPr>
        <w:tc>
          <w:tcPr>
            <w:tcW w:w="183" w:type="pct"/>
          </w:tcPr>
          <w:p w14:paraId="79665E58" w14:textId="18A2A1B7" w:rsidR="00967792" w:rsidRPr="00A616CA" w:rsidRDefault="00967792" w:rsidP="00B53355">
            <w:pPr>
              <w:pStyle w:val="Tabletext"/>
              <w:rPr>
                <w:lang w:val="es-ES"/>
              </w:rPr>
            </w:pPr>
            <w:r w:rsidRPr="00A616CA">
              <w:rPr>
                <w:lang w:val="es-ES"/>
              </w:rPr>
              <w:lastRenderedPageBreak/>
              <w:t>75</w:t>
            </w:r>
          </w:p>
        </w:tc>
        <w:tc>
          <w:tcPr>
            <w:tcW w:w="434" w:type="pct"/>
          </w:tcPr>
          <w:p w14:paraId="673E4144" w14:textId="77C36722" w:rsidR="00967792" w:rsidRPr="00A616CA" w:rsidRDefault="00967792" w:rsidP="00B53355">
            <w:pPr>
              <w:pStyle w:val="Tabletext"/>
              <w:rPr>
                <w:lang w:val="es-ES"/>
              </w:rPr>
            </w:pPr>
            <w:r w:rsidRPr="00A616CA">
              <w:rPr>
                <w:lang w:val="es-ES"/>
              </w:rPr>
              <w:t>CMR-19</w:t>
            </w:r>
          </w:p>
        </w:tc>
        <w:tc>
          <w:tcPr>
            <w:tcW w:w="523" w:type="pct"/>
          </w:tcPr>
          <w:p w14:paraId="1B064D91" w14:textId="68E096DE" w:rsidR="00967792" w:rsidRPr="00D2027A" w:rsidRDefault="00967792" w:rsidP="00A864C4">
            <w:pPr>
              <w:pStyle w:val="Tabletext"/>
              <w:rPr>
                <w:rFonts w:asciiTheme="majorBidi" w:hAnsiTheme="majorBidi" w:cstheme="majorBidi"/>
                <w:bCs/>
                <w:szCs w:val="24"/>
                <w:lang w:val="es-ES"/>
              </w:rPr>
            </w:pPr>
            <w:r w:rsidRPr="00D2027A">
              <w:rPr>
                <w:rFonts w:asciiTheme="majorBidi" w:hAnsiTheme="majorBidi" w:cstheme="majorBidi"/>
                <w:bCs/>
                <w:szCs w:val="24"/>
                <w:lang w:val="es-ES"/>
              </w:rPr>
              <w:t>8ª</w:t>
            </w:r>
            <w:r w:rsidRPr="00D2027A">
              <w:rPr>
                <w:rFonts w:asciiTheme="majorBidi" w:hAnsiTheme="majorBidi" w:cstheme="majorBidi"/>
                <w:bCs/>
                <w:szCs w:val="24"/>
                <w:vertAlign w:val="superscript"/>
                <w:lang w:val="es-ES"/>
              </w:rPr>
              <w:t xml:space="preserve"> </w:t>
            </w:r>
            <w:r w:rsidRPr="00A864C4">
              <w:rPr>
                <w:lang w:val="es-ES"/>
              </w:rPr>
              <w:t>Plenaria</w:t>
            </w:r>
            <w:r w:rsidR="002D0088">
              <w:rPr>
                <w:rFonts w:asciiTheme="majorBidi" w:hAnsiTheme="majorBidi" w:cstheme="majorBidi"/>
                <w:bCs/>
                <w:szCs w:val="24"/>
                <w:lang w:val="es-ES"/>
              </w:rPr>
              <w:br/>
            </w:r>
            <w:r w:rsidRPr="00D2027A">
              <w:rPr>
                <w:rFonts w:asciiTheme="majorBidi" w:hAnsiTheme="majorBidi" w:cstheme="majorBidi"/>
                <w:bCs/>
                <w:szCs w:val="24"/>
                <w:lang w:val="es-ES"/>
              </w:rPr>
              <w:t xml:space="preserve">Doc. </w:t>
            </w:r>
            <w:hyperlink r:id="rId238" w:history="1">
              <w:r w:rsidRPr="00D2027A">
                <w:rPr>
                  <w:rStyle w:val="Hyperlink"/>
                  <w:rFonts w:asciiTheme="majorBidi" w:hAnsiTheme="majorBidi" w:cstheme="majorBidi"/>
                  <w:bCs/>
                  <w:szCs w:val="24"/>
                  <w:lang w:val="es-ES"/>
                </w:rPr>
                <w:t>CMR19/569</w:t>
              </w:r>
            </w:hyperlink>
            <w:r w:rsidRPr="00D2027A">
              <w:rPr>
                <w:rFonts w:asciiTheme="majorBidi" w:hAnsiTheme="majorBidi" w:cstheme="majorBidi"/>
                <w:bCs/>
                <w:szCs w:val="24"/>
                <w:lang w:val="es-ES"/>
              </w:rPr>
              <w:t xml:space="preserve"> </w:t>
            </w:r>
          </w:p>
          <w:p w14:paraId="5A5AABBD" w14:textId="0095E958" w:rsidR="00967792" w:rsidRPr="00D2027A" w:rsidRDefault="00967792" w:rsidP="00A864C4">
            <w:pPr>
              <w:pStyle w:val="Tabletext"/>
              <w:rPr>
                <w:rFonts w:asciiTheme="majorBidi" w:hAnsiTheme="majorBidi" w:cstheme="majorBidi"/>
                <w:bCs/>
                <w:szCs w:val="24"/>
                <w:lang w:val="es-ES"/>
              </w:rPr>
            </w:pPr>
            <w:r>
              <w:rPr>
                <w:rFonts w:asciiTheme="majorBidi" w:hAnsiTheme="majorBidi" w:cstheme="majorBidi"/>
                <w:bCs/>
                <w:szCs w:val="24"/>
                <w:lang w:val="es-ES"/>
              </w:rPr>
              <w:t xml:space="preserve">Aprobación del </w:t>
            </w:r>
            <w:r w:rsidRPr="00A864C4">
              <w:rPr>
                <w:lang w:val="es-ES"/>
              </w:rPr>
              <w:t>Documento</w:t>
            </w:r>
            <w:r w:rsidRPr="00D2027A">
              <w:rPr>
                <w:rFonts w:asciiTheme="majorBidi" w:hAnsiTheme="majorBidi" w:cstheme="majorBidi"/>
                <w:bCs/>
                <w:szCs w:val="24"/>
                <w:lang w:val="es-ES"/>
              </w:rPr>
              <w:t xml:space="preserve"> </w:t>
            </w:r>
            <w:hyperlink r:id="rId239" w:history="1">
              <w:r w:rsidRPr="00D2027A">
                <w:rPr>
                  <w:rStyle w:val="Hyperlink"/>
                  <w:rFonts w:asciiTheme="majorBidi" w:hAnsiTheme="majorBidi" w:cstheme="majorBidi"/>
                  <w:bCs/>
                  <w:szCs w:val="24"/>
                  <w:lang w:val="es-ES"/>
                </w:rPr>
                <w:t>CMR19/452</w:t>
              </w:r>
            </w:hyperlink>
          </w:p>
        </w:tc>
        <w:tc>
          <w:tcPr>
            <w:tcW w:w="2312" w:type="pct"/>
          </w:tcPr>
          <w:p w14:paraId="1CF0ABAB" w14:textId="77777777" w:rsidR="00967792" w:rsidRPr="00A864C4" w:rsidRDefault="00967792" w:rsidP="00B53355">
            <w:pPr>
              <w:spacing w:before="40" w:after="40"/>
              <w:rPr>
                <w:bCs/>
                <w:sz w:val="22"/>
                <w:lang w:val="es-ES"/>
              </w:rPr>
            </w:pPr>
            <w:r w:rsidRPr="00A864C4">
              <w:rPr>
                <w:sz w:val="22"/>
                <w:lang w:val="es-ES"/>
              </w:rPr>
              <w:t>3.16</w:t>
            </w:r>
            <w:r w:rsidRPr="00A864C4">
              <w:rPr>
                <w:sz w:val="22"/>
                <w:lang w:val="es-ES"/>
              </w:rPr>
              <w:tab/>
              <w:t xml:space="preserve">El </w:t>
            </w:r>
            <w:r w:rsidRPr="00A864C4">
              <w:rPr>
                <w:b/>
                <w:bCs/>
                <w:sz w:val="22"/>
                <w:lang w:val="es-ES"/>
              </w:rPr>
              <w:t>Presidente de la Comisión 5</w:t>
            </w:r>
            <w:r w:rsidRPr="00A864C4">
              <w:rPr>
                <w:sz w:val="22"/>
                <w:lang w:val="es-ES"/>
              </w:rPr>
              <w:t xml:space="preserve"> presenta el Documento 452, en el que figura el octavo informe de esta Comisión 5 a la Plenaria sobre sus conclusiones en relación con el punto 9.3 del orden del día. Se propone que el texto siguiente, que figura en el Documento 452, se apruebe y se incluya en las actas de la Sesión Plenaria como decisión de la Conferencia:</w:t>
            </w:r>
          </w:p>
          <w:p w14:paraId="57F66FD3" w14:textId="77777777" w:rsidR="00967792" w:rsidRPr="00A864C4" w:rsidRDefault="00967792" w:rsidP="00B53355">
            <w:pPr>
              <w:spacing w:before="40" w:after="40"/>
              <w:rPr>
                <w:sz w:val="22"/>
                <w:lang w:val="es-ES"/>
              </w:rPr>
            </w:pPr>
            <w:r w:rsidRPr="00A864C4">
              <w:rPr>
                <w:sz w:val="22"/>
                <w:lang w:val="es-ES"/>
              </w:rPr>
              <w:t xml:space="preserve">«De conformidad con el punto 9.3 del orden del día de la CMR-19, la Conferencia recibió el Documento 15 de la Junta del Reglamento de Radiocomunicaciones titulado </w:t>
            </w:r>
            <w:r w:rsidRPr="00A864C4">
              <w:rPr>
                <w:i/>
                <w:sz w:val="22"/>
                <w:lang w:val="es-ES"/>
              </w:rPr>
              <w:t xml:space="preserve">Informe de la Junta del Reglamento de Radiocomunicaciones sobre la Resolución </w:t>
            </w:r>
            <w:r w:rsidRPr="00A864C4">
              <w:rPr>
                <w:b/>
                <w:i/>
                <w:sz w:val="22"/>
                <w:lang w:val="es-ES"/>
              </w:rPr>
              <w:t>80 (Rev.CMR-07)</w:t>
            </w:r>
            <w:r w:rsidRPr="00A864C4">
              <w:rPr>
                <w:i/>
                <w:sz w:val="22"/>
                <w:lang w:val="es-ES"/>
              </w:rPr>
              <w:t>.</w:t>
            </w:r>
            <w:r w:rsidRPr="00A864C4">
              <w:rPr>
                <w:sz w:val="22"/>
                <w:lang w:val="es-ES"/>
              </w:rPr>
              <w:t xml:space="preserve"> Ese Informe resume las actividades de la RRB relacionadas con la Resolución </w:t>
            </w:r>
            <w:r w:rsidRPr="00A864C4">
              <w:rPr>
                <w:b/>
                <w:bCs/>
                <w:sz w:val="22"/>
                <w:lang w:val="es-ES"/>
              </w:rPr>
              <w:t>80</w:t>
            </w:r>
            <w:r w:rsidRPr="00A864C4">
              <w:rPr>
                <w:sz w:val="22"/>
                <w:lang w:val="es-ES"/>
              </w:rPr>
              <w:t xml:space="preserve"> </w:t>
            </w:r>
            <w:r w:rsidRPr="00A864C4">
              <w:rPr>
                <w:b/>
                <w:bCs/>
                <w:sz w:val="22"/>
                <w:lang w:val="es-ES"/>
              </w:rPr>
              <w:t>(Rev.CMR-07)</w:t>
            </w:r>
            <w:r w:rsidRPr="00A864C4">
              <w:rPr>
                <w:sz w:val="22"/>
                <w:lang w:val="es-ES"/>
              </w:rPr>
              <w:t>.</w:t>
            </w:r>
          </w:p>
          <w:p w14:paraId="242CCE0A" w14:textId="77777777" w:rsidR="00967792" w:rsidRPr="00A864C4" w:rsidRDefault="00967792" w:rsidP="00B53355">
            <w:pPr>
              <w:spacing w:before="40" w:after="40"/>
              <w:rPr>
                <w:bCs/>
                <w:sz w:val="22"/>
                <w:lang w:val="es-ES"/>
              </w:rPr>
            </w:pPr>
            <w:r w:rsidRPr="00A864C4">
              <w:rPr>
                <w:sz w:val="22"/>
                <w:lang w:val="es-ES"/>
              </w:rPr>
              <w:t xml:space="preserve">Al estudiar la sección 4.2 de este informe sobre </w:t>
            </w:r>
            <w:bookmarkStart w:id="79" w:name="_Toc409538048"/>
            <w:r w:rsidRPr="00A864C4">
              <w:rPr>
                <w:sz w:val="22"/>
                <w:lang w:val="es-ES"/>
              </w:rPr>
              <w:t xml:space="preserve">«Vínculo entre puesta en servicio y notificación para inscripción en el MIFR» </w:t>
            </w:r>
            <w:bookmarkStart w:id="80" w:name="lt_pId024"/>
            <w:r w:rsidRPr="00A864C4">
              <w:rPr>
                <w:bCs/>
                <w:sz w:val="22"/>
                <w:lang w:val="es-ES"/>
              </w:rPr>
              <w:t>la CMR-19 decidió que, en los casos en que:</w:t>
            </w:r>
            <w:bookmarkEnd w:id="80"/>
          </w:p>
          <w:p w14:paraId="65E92E0C" w14:textId="77777777" w:rsidR="00967792" w:rsidRPr="00A864C4" w:rsidRDefault="00967792" w:rsidP="000675D8">
            <w:pPr>
              <w:spacing w:before="40" w:after="40"/>
              <w:ind w:left="794" w:hanging="794"/>
              <w:rPr>
                <w:sz w:val="22"/>
                <w:lang w:val="es-ES"/>
              </w:rPr>
            </w:pPr>
            <w:bookmarkStart w:id="81" w:name="lt_pId025"/>
            <w:r w:rsidRPr="00A864C4">
              <w:rPr>
                <w:i/>
                <w:iCs/>
                <w:sz w:val="22"/>
                <w:lang w:val="es-ES"/>
              </w:rPr>
              <w:t>a)</w:t>
            </w:r>
            <w:bookmarkEnd w:id="81"/>
            <w:r w:rsidRPr="00A864C4">
              <w:rPr>
                <w:sz w:val="22"/>
                <w:lang w:val="es-ES"/>
              </w:rPr>
              <w:tab/>
            </w:r>
            <w:bookmarkStart w:id="82" w:name="lt_pId026"/>
            <w:r w:rsidRPr="00A864C4">
              <w:rPr>
                <w:sz w:val="22"/>
                <w:lang w:val="es-ES"/>
              </w:rPr>
              <w:t xml:space="preserve">la información relativa a la puesta en servicio de las asignaciones de frecuencias prevista en los Apéndices </w:t>
            </w:r>
            <w:r w:rsidRPr="00A864C4">
              <w:rPr>
                <w:b/>
                <w:sz w:val="22"/>
                <w:lang w:val="es-ES"/>
              </w:rPr>
              <w:t>30</w:t>
            </w:r>
            <w:r w:rsidRPr="00A864C4">
              <w:rPr>
                <w:sz w:val="22"/>
                <w:lang w:val="es-ES"/>
              </w:rPr>
              <w:t xml:space="preserve">, </w:t>
            </w:r>
            <w:r w:rsidRPr="00A864C4">
              <w:rPr>
                <w:b/>
                <w:sz w:val="22"/>
                <w:lang w:val="es-ES"/>
              </w:rPr>
              <w:t>30A</w:t>
            </w:r>
            <w:r w:rsidRPr="00A864C4">
              <w:rPr>
                <w:sz w:val="22"/>
                <w:lang w:val="es-ES"/>
              </w:rPr>
              <w:t xml:space="preserve"> o </w:t>
            </w:r>
            <w:r w:rsidRPr="00A864C4">
              <w:rPr>
                <w:b/>
                <w:sz w:val="22"/>
                <w:lang w:val="es-ES"/>
              </w:rPr>
              <w:t>30B</w:t>
            </w:r>
            <w:r w:rsidRPr="00A864C4">
              <w:rPr>
                <w:sz w:val="22"/>
                <w:lang w:val="es-ES"/>
              </w:rPr>
              <w:t xml:space="preserve"> del RR se presente antes de concluir el examen de la Parte B y las comunicaciones de las notificaciones sobre esas asignaciones de frecuencia</w:t>
            </w:r>
            <w:bookmarkEnd w:id="82"/>
            <w:r w:rsidRPr="00A864C4">
              <w:rPr>
                <w:sz w:val="22"/>
                <w:lang w:val="es-ES"/>
              </w:rPr>
              <w:t>s;</w:t>
            </w:r>
          </w:p>
          <w:p w14:paraId="3D986916" w14:textId="77777777" w:rsidR="00967792" w:rsidRPr="00A864C4" w:rsidRDefault="00967792" w:rsidP="000675D8">
            <w:pPr>
              <w:spacing w:before="40" w:after="40"/>
              <w:ind w:left="794" w:hanging="794"/>
              <w:rPr>
                <w:sz w:val="22"/>
                <w:lang w:val="es-ES"/>
              </w:rPr>
            </w:pPr>
            <w:bookmarkStart w:id="83" w:name="lt_pId027"/>
            <w:r w:rsidRPr="00A864C4">
              <w:rPr>
                <w:i/>
                <w:iCs/>
                <w:sz w:val="22"/>
                <w:lang w:val="es-ES"/>
              </w:rPr>
              <w:t>b)</w:t>
            </w:r>
            <w:bookmarkEnd w:id="83"/>
            <w:r w:rsidRPr="00A864C4">
              <w:rPr>
                <w:sz w:val="22"/>
                <w:lang w:val="es-ES"/>
              </w:rPr>
              <w:tab/>
            </w:r>
            <w:bookmarkStart w:id="84" w:name="lt_pId028"/>
            <w:r w:rsidRPr="00A864C4">
              <w:rPr>
                <w:sz w:val="22"/>
                <w:lang w:val="es-ES"/>
              </w:rPr>
              <w:t xml:space="preserve">los requisitos de los números </w:t>
            </w:r>
            <w:r w:rsidRPr="00A864C4">
              <w:rPr>
                <w:b/>
                <w:sz w:val="22"/>
                <w:lang w:val="es-ES"/>
              </w:rPr>
              <w:t>11.44</w:t>
            </w:r>
            <w:r w:rsidRPr="00A864C4">
              <w:rPr>
                <w:sz w:val="22"/>
                <w:lang w:val="es-ES"/>
              </w:rPr>
              <w:t xml:space="preserve"> y </w:t>
            </w:r>
            <w:r w:rsidRPr="00A864C4">
              <w:rPr>
                <w:b/>
                <w:sz w:val="22"/>
                <w:lang w:val="es-ES"/>
              </w:rPr>
              <w:t>11.44B</w:t>
            </w:r>
            <w:r w:rsidRPr="00A864C4">
              <w:rPr>
                <w:sz w:val="22"/>
                <w:lang w:val="es-ES"/>
              </w:rPr>
              <w:t xml:space="preserve"> del RR se han cumplido para dichas asignaciones de frecuencias antes de concluir el examen de su Parte B y de las comunicaciones de las notificaciones</w:t>
            </w:r>
            <w:bookmarkEnd w:id="84"/>
            <w:r w:rsidRPr="00A864C4">
              <w:rPr>
                <w:sz w:val="22"/>
                <w:lang w:val="es-ES"/>
              </w:rPr>
              <w:t>;</w:t>
            </w:r>
          </w:p>
          <w:p w14:paraId="1B044BF5" w14:textId="77777777" w:rsidR="00967792" w:rsidRPr="00A864C4" w:rsidRDefault="00967792" w:rsidP="000675D8">
            <w:pPr>
              <w:spacing w:before="40" w:after="40"/>
              <w:ind w:left="794" w:hanging="794"/>
              <w:rPr>
                <w:sz w:val="22"/>
                <w:lang w:val="es-ES"/>
              </w:rPr>
            </w:pPr>
            <w:bookmarkStart w:id="85" w:name="lt_pId029"/>
            <w:r w:rsidRPr="00A864C4">
              <w:rPr>
                <w:i/>
                <w:iCs/>
                <w:sz w:val="22"/>
                <w:lang w:val="es-ES"/>
              </w:rPr>
              <w:t>c)</w:t>
            </w:r>
            <w:bookmarkEnd w:id="85"/>
            <w:r w:rsidRPr="00A864C4">
              <w:rPr>
                <w:sz w:val="22"/>
                <w:lang w:val="es-ES"/>
              </w:rPr>
              <w:tab/>
            </w:r>
            <w:bookmarkStart w:id="86" w:name="lt_pId030"/>
            <w:r w:rsidRPr="00A864C4">
              <w:rPr>
                <w:sz w:val="22"/>
                <w:lang w:val="es-ES"/>
              </w:rPr>
              <w:t xml:space="preserve">tras el cumplimiento de los requisitos del número </w:t>
            </w:r>
            <w:r w:rsidRPr="00A864C4">
              <w:rPr>
                <w:b/>
                <w:sz w:val="22"/>
                <w:lang w:val="es-ES"/>
              </w:rPr>
              <w:t xml:space="preserve">11.44B </w:t>
            </w:r>
            <w:r w:rsidRPr="00A864C4">
              <w:rPr>
                <w:bCs/>
                <w:sz w:val="22"/>
                <w:lang w:val="es-ES"/>
              </w:rPr>
              <w:t>del RR</w:t>
            </w:r>
            <w:r w:rsidRPr="00A864C4">
              <w:rPr>
                <w:sz w:val="22"/>
                <w:lang w:val="es-ES"/>
              </w:rPr>
              <w:t>, el satélite se haya reubicado en otra posición orbital antes de concluir el examen de la comunicación de la notificación relativa a esas asignaciones</w:t>
            </w:r>
            <w:bookmarkEnd w:id="86"/>
            <w:r w:rsidRPr="00A864C4">
              <w:rPr>
                <w:sz w:val="22"/>
                <w:lang w:val="es-ES"/>
              </w:rPr>
              <w:t>;</w:t>
            </w:r>
          </w:p>
          <w:p w14:paraId="0EE2BD1D" w14:textId="77777777" w:rsidR="00967792" w:rsidRPr="00A864C4" w:rsidRDefault="00967792" w:rsidP="000675D8">
            <w:pPr>
              <w:spacing w:before="40" w:after="40"/>
              <w:ind w:left="794" w:hanging="794"/>
              <w:rPr>
                <w:sz w:val="22"/>
                <w:lang w:val="es-ES"/>
              </w:rPr>
            </w:pPr>
            <w:bookmarkStart w:id="87" w:name="lt_pId031"/>
            <w:r w:rsidRPr="00A864C4">
              <w:rPr>
                <w:i/>
                <w:iCs/>
                <w:sz w:val="22"/>
                <w:lang w:val="es-ES"/>
              </w:rPr>
              <w:lastRenderedPageBreak/>
              <w:t>d)</w:t>
            </w:r>
            <w:bookmarkEnd w:id="87"/>
            <w:r w:rsidRPr="00A864C4">
              <w:rPr>
                <w:sz w:val="22"/>
                <w:lang w:val="es-ES"/>
              </w:rPr>
              <w:tab/>
            </w:r>
            <w:bookmarkStart w:id="88" w:name="lt_pId032"/>
            <w:r w:rsidRPr="00A864C4">
              <w:rPr>
                <w:sz w:val="22"/>
                <w:lang w:val="es-ES"/>
              </w:rPr>
              <w:t>el examen de la comunicación relativa a la Parte B sobre esas asignaciones conlleve a la devolución de la notificación a la administración notificante como consecuencia de un error involuntario de esa administración</w:t>
            </w:r>
            <w:bookmarkEnd w:id="88"/>
            <w:r w:rsidRPr="00A864C4">
              <w:rPr>
                <w:sz w:val="22"/>
                <w:lang w:val="es-ES"/>
              </w:rPr>
              <w:t>;</w:t>
            </w:r>
          </w:p>
          <w:p w14:paraId="2B7DC379" w14:textId="77777777" w:rsidR="00967792" w:rsidRPr="00A864C4" w:rsidRDefault="00967792" w:rsidP="000675D8">
            <w:pPr>
              <w:spacing w:before="40" w:after="40"/>
              <w:ind w:left="794" w:hanging="794"/>
              <w:rPr>
                <w:sz w:val="22"/>
                <w:lang w:val="es-ES"/>
              </w:rPr>
            </w:pPr>
            <w:bookmarkStart w:id="89" w:name="lt_pId033"/>
            <w:r w:rsidRPr="00A864C4">
              <w:rPr>
                <w:i/>
                <w:iCs/>
                <w:sz w:val="22"/>
                <w:lang w:val="es-ES"/>
              </w:rPr>
              <w:t>e)</w:t>
            </w:r>
            <w:bookmarkEnd w:id="89"/>
            <w:r w:rsidRPr="00A864C4">
              <w:rPr>
                <w:sz w:val="22"/>
                <w:lang w:val="es-ES"/>
              </w:rPr>
              <w:tab/>
            </w:r>
            <w:bookmarkStart w:id="90" w:name="lt_pId034"/>
            <w:r w:rsidRPr="00A864C4">
              <w:rPr>
                <w:sz w:val="22"/>
                <w:lang w:val="es-ES"/>
              </w:rPr>
              <w:t xml:space="preserve">la administración notificante informe a la Oficina de que no está en condiciones de cumplir los requisitos de los números </w:t>
            </w:r>
            <w:r w:rsidRPr="00A864C4">
              <w:rPr>
                <w:b/>
                <w:sz w:val="22"/>
                <w:lang w:val="es-ES"/>
              </w:rPr>
              <w:t>11.44</w:t>
            </w:r>
            <w:r w:rsidRPr="00A864C4">
              <w:rPr>
                <w:sz w:val="22"/>
                <w:lang w:val="es-ES"/>
              </w:rPr>
              <w:t xml:space="preserve"> y </w:t>
            </w:r>
            <w:r w:rsidRPr="00A864C4">
              <w:rPr>
                <w:b/>
                <w:sz w:val="22"/>
                <w:lang w:val="es-ES"/>
              </w:rPr>
              <w:t xml:space="preserve">11.44B </w:t>
            </w:r>
            <w:r w:rsidRPr="00A864C4">
              <w:rPr>
                <w:bCs/>
                <w:sz w:val="22"/>
                <w:lang w:val="es-ES"/>
              </w:rPr>
              <w:t>del RR</w:t>
            </w:r>
            <w:r w:rsidRPr="00A864C4">
              <w:rPr>
                <w:sz w:val="22"/>
                <w:lang w:val="es-ES"/>
              </w:rPr>
              <w:t xml:space="preserve"> en el momento de volver a presentar la información relativa a la Parte B y a la notificación</w:t>
            </w:r>
            <w:bookmarkEnd w:id="90"/>
            <w:r w:rsidRPr="00A864C4">
              <w:rPr>
                <w:sz w:val="22"/>
                <w:lang w:val="es-ES"/>
              </w:rPr>
              <w:t>.</w:t>
            </w:r>
          </w:p>
          <w:p w14:paraId="12C0CCCE" w14:textId="77777777" w:rsidR="00967792" w:rsidRPr="00A864C4" w:rsidRDefault="00967792" w:rsidP="00B53355">
            <w:pPr>
              <w:spacing w:before="40" w:after="40"/>
              <w:rPr>
                <w:sz w:val="22"/>
                <w:lang w:val="es-ES"/>
              </w:rPr>
            </w:pPr>
            <w:r w:rsidRPr="00A864C4">
              <w:rPr>
                <w:bCs/>
                <w:sz w:val="22"/>
                <w:lang w:val="es-ES"/>
              </w:rPr>
              <w:t xml:space="preserve">La Junta del Reglamento de Radiocomunicaciones ha sido encargada de examinar, caso por caso, si el cumplimiento de los requisitos de los números </w:t>
            </w:r>
            <w:r w:rsidRPr="00A864C4">
              <w:rPr>
                <w:b/>
                <w:bCs/>
                <w:sz w:val="22"/>
                <w:lang w:val="es-ES"/>
              </w:rPr>
              <w:t>11.44</w:t>
            </w:r>
            <w:r w:rsidRPr="00A864C4">
              <w:rPr>
                <w:bCs/>
                <w:sz w:val="22"/>
                <w:lang w:val="es-ES"/>
              </w:rPr>
              <w:t xml:space="preserve"> y </w:t>
            </w:r>
            <w:r w:rsidRPr="00A864C4">
              <w:rPr>
                <w:b/>
                <w:bCs/>
                <w:sz w:val="22"/>
                <w:lang w:val="es-ES"/>
              </w:rPr>
              <w:t>11.44B</w:t>
            </w:r>
            <w:r w:rsidRPr="00A864C4">
              <w:rPr>
                <w:b/>
                <w:sz w:val="22"/>
                <w:lang w:val="es-ES"/>
              </w:rPr>
              <w:t xml:space="preserve"> </w:t>
            </w:r>
            <w:r w:rsidRPr="00A864C4">
              <w:rPr>
                <w:bCs/>
                <w:sz w:val="22"/>
                <w:lang w:val="es-ES"/>
              </w:rPr>
              <w:t xml:space="preserve">del RR antes de concluir el examen de su Parte B y de las comunicaciones relativas a las notificaciones puede aceptarse como la puesta en servicio de las </w:t>
            </w:r>
            <w:r w:rsidRPr="00A864C4">
              <w:rPr>
                <w:sz w:val="22"/>
                <w:lang w:val="es-ES"/>
              </w:rPr>
              <w:t>asignaciones de frecuencias</w:t>
            </w:r>
            <w:r w:rsidRPr="00A864C4">
              <w:rPr>
                <w:bCs/>
                <w:sz w:val="22"/>
                <w:lang w:val="es-ES"/>
              </w:rPr>
              <w:t>.</w:t>
            </w:r>
            <w:bookmarkEnd w:id="79"/>
          </w:p>
          <w:p w14:paraId="097DB822" w14:textId="77777777" w:rsidR="00967792" w:rsidRPr="00A864C4" w:rsidRDefault="00967792" w:rsidP="00B53355">
            <w:pPr>
              <w:spacing w:before="40" w:after="40"/>
              <w:rPr>
                <w:sz w:val="22"/>
                <w:lang w:val="es-ES"/>
              </w:rPr>
            </w:pPr>
            <w:r w:rsidRPr="00A864C4">
              <w:rPr>
                <w:sz w:val="22"/>
                <w:lang w:val="es-ES"/>
              </w:rPr>
              <w:t>Al estudiar la sección 4.3 de este informe sobre «Cuestiones relativas a la ampliación de los plazos de puesta en servicio o puesta de nuevo en servicio de una asignación de frecuencias»:</w:t>
            </w:r>
          </w:p>
          <w:p w14:paraId="370D93CB" w14:textId="77777777" w:rsidR="00967792" w:rsidRPr="00A864C4" w:rsidRDefault="00967792" w:rsidP="00B53355">
            <w:pPr>
              <w:spacing w:before="40" w:after="40"/>
              <w:rPr>
                <w:sz w:val="22"/>
                <w:lang w:val="es-ES"/>
              </w:rPr>
            </w:pPr>
            <w:r w:rsidRPr="00A864C4">
              <w:rPr>
                <w:sz w:val="22"/>
                <w:lang w:val="es-ES"/>
              </w:rPr>
              <w:t>En la sección 4.3.4 «Situaciones de retraso por lanzamiento colectivo», la CMR-19 decidió que la Junta estudiaría requerir la presentación de la siguiente información para la gestión de la solicitud de prórroga de los plazos reglamentarios debido a un retraso por lanzamiento colectivo:</w:t>
            </w:r>
          </w:p>
          <w:p w14:paraId="1EEBA95E" w14:textId="77777777" w:rsidR="00967792" w:rsidRPr="00A864C4" w:rsidRDefault="00967792" w:rsidP="00DE03BA">
            <w:pPr>
              <w:spacing w:before="40" w:after="40"/>
              <w:ind w:left="794" w:hanging="794"/>
              <w:rPr>
                <w:sz w:val="22"/>
                <w:lang w:val="es-ES"/>
              </w:rPr>
            </w:pPr>
            <w:r w:rsidRPr="00A864C4">
              <w:rPr>
                <w:sz w:val="22"/>
                <w:lang w:val="es-ES"/>
              </w:rPr>
              <w:t>–</w:t>
            </w:r>
            <w:r w:rsidRPr="00A864C4">
              <w:rPr>
                <w:sz w:val="22"/>
                <w:lang w:val="es-ES"/>
              </w:rPr>
              <w:tab/>
              <w:t>una descripción resumida del satélite que se va a lanzar, incluidas las bandas de frecuencias;</w:t>
            </w:r>
          </w:p>
          <w:p w14:paraId="51CD2DB9" w14:textId="77777777" w:rsidR="00967792" w:rsidRPr="00A864C4" w:rsidRDefault="00967792" w:rsidP="00DE03BA">
            <w:pPr>
              <w:spacing w:before="40" w:after="40"/>
              <w:ind w:left="794" w:hanging="794"/>
              <w:rPr>
                <w:sz w:val="22"/>
                <w:lang w:val="es-ES"/>
              </w:rPr>
            </w:pPr>
            <w:r w:rsidRPr="00A864C4">
              <w:rPr>
                <w:sz w:val="22"/>
                <w:lang w:val="es-ES"/>
              </w:rPr>
              <w:t>–</w:t>
            </w:r>
            <w:r w:rsidRPr="00A864C4">
              <w:rPr>
                <w:sz w:val="22"/>
                <w:lang w:val="es-ES"/>
              </w:rPr>
              <w:tab/>
              <w:t>el nombre del fabricante seleccionado para fabricar el satélite y la fecha de firma del contrato;</w:t>
            </w:r>
          </w:p>
          <w:p w14:paraId="47600359" w14:textId="77777777" w:rsidR="00967792" w:rsidRPr="00A864C4" w:rsidRDefault="00967792" w:rsidP="00DE03BA">
            <w:pPr>
              <w:spacing w:before="40" w:after="40"/>
              <w:ind w:left="794" w:hanging="794"/>
              <w:rPr>
                <w:sz w:val="22"/>
                <w:lang w:val="es-ES"/>
              </w:rPr>
            </w:pPr>
            <w:r w:rsidRPr="00A864C4">
              <w:rPr>
                <w:sz w:val="22"/>
                <w:lang w:val="es-ES"/>
              </w:rPr>
              <w:t>–</w:t>
            </w:r>
            <w:r w:rsidRPr="00A864C4">
              <w:rPr>
                <w:sz w:val="22"/>
                <w:lang w:val="es-ES"/>
              </w:rPr>
              <w:tab/>
              <w:t>el estado relativo a la construcción del satélite, incluida la fecha en que se inició la construcción y si estaba previsto concluirla antes la ventana de lanzamiento inicial;</w:t>
            </w:r>
          </w:p>
          <w:p w14:paraId="496D51D0" w14:textId="77777777" w:rsidR="00967792" w:rsidRPr="00A864C4" w:rsidRDefault="00967792" w:rsidP="00DE03BA">
            <w:pPr>
              <w:spacing w:before="40" w:after="40"/>
              <w:ind w:left="794" w:hanging="794"/>
              <w:rPr>
                <w:sz w:val="22"/>
                <w:lang w:val="es-ES"/>
              </w:rPr>
            </w:pPr>
            <w:r w:rsidRPr="00A864C4">
              <w:rPr>
                <w:sz w:val="22"/>
                <w:lang w:val="es-ES"/>
              </w:rPr>
              <w:t>–</w:t>
            </w:r>
            <w:r w:rsidRPr="00A864C4">
              <w:rPr>
                <w:sz w:val="22"/>
                <w:lang w:val="es-ES"/>
              </w:rPr>
              <w:tab/>
              <w:t>el nombre del proveedor del servicio de lanzamiento y la fecha de firma del contrato;</w:t>
            </w:r>
          </w:p>
          <w:p w14:paraId="01E8624C" w14:textId="77777777" w:rsidR="00967792" w:rsidRPr="00A864C4" w:rsidRDefault="00967792" w:rsidP="00B53355">
            <w:pPr>
              <w:spacing w:before="40" w:after="40"/>
              <w:rPr>
                <w:sz w:val="22"/>
                <w:lang w:val="es-ES"/>
              </w:rPr>
            </w:pPr>
            <w:r w:rsidRPr="00A864C4">
              <w:rPr>
                <w:sz w:val="22"/>
                <w:lang w:val="es-ES"/>
              </w:rPr>
              <w:t>–</w:t>
            </w:r>
            <w:r w:rsidRPr="00A864C4">
              <w:rPr>
                <w:sz w:val="22"/>
                <w:lang w:val="es-ES"/>
              </w:rPr>
              <w:tab/>
              <w:t>la ventana de lanzamiento inicial y la revisada;</w:t>
            </w:r>
          </w:p>
          <w:p w14:paraId="4B0FA6E5" w14:textId="77777777" w:rsidR="00967792" w:rsidRPr="00A864C4" w:rsidRDefault="00967792" w:rsidP="00DE03BA">
            <w:pPr>
              <w:spacing w:before="40" w:after="40"/>
              <w:ind w:left="794" w:hanging="794"/>
              <w:rPr>
                <w:sz w:val="22"/>
                <w:lang w:val="es-ES"/>
              </w:rPr>
            </w:pPr>
            <w:r w:rsidRPr="00A864C4">
              <w:rPr>
                <w:sz w:val="22"/>
                <w:lang w:val="es-ES"/>
              </w:rPr>
              <w:lastRenderedPageBreak/>
              <w:t>–</w:t>
            </w:r>
            <w:r w:rsidRPr="00A864C4">
              <w:rPr>
                <w:sz w:val="22"/>
                <w:lang w:val="es-ES"/>
              </w:rPr>
              <w:tab/>
              <w:t>información suficientemente detallada para justificar que la solicitud de ampliación se debe a un retraso del lanzamiento colectivo (por ejemplo, una carta del proveedor del servicio de lanzamiento indicando que se retrasa el lanzamiento debido a un retraso que afecta al otro satélite pasajero);</w:t>
            </w:r>
          </w:p>
          <w:p w14:paraId="32827C41" w14:textId="77777777" w:rsidR="00967792" w:rsidRPr="00A864C4" w:rsidRDefault="00967792" w:rsidP="00DE03BA">
            <w:pPr>
              <w:spacing w:before="40" w:after="40"/>
              <w:ind w:left="794" w:hanging="794"/>
              <w:rPr>
                <w:sz w:val="22"/>
                <w:lang w:val="es-ES"/>
              </w:rPr>
            </w:pPr>
            <w:r w:rsidRPr="00A864C4">
              <w:rPr>
                <w:sz w:val="22"/>
                <w:lang w:val="es-ES"/>
              </w:rPr>
              <w:t>–</w:t>
            </w:r>
            <w:r w:rsidRPr="00A864C4">
              <w:rPr>
                <w:sz w:val="22"/>
                <w:lang w:val="es-ES"/>
              </w:rPr>
              <w:tab/>
              <w:t>información detallada suficiente para justificar la duración de la prórroga solicitada; y</w:t>
            </w:r>
          </w:p>
          <w:p w14:paraId="52E5AB05" w14:textId="77777777" w:rsidR="00967792" w:rsidRPr="00A864C4" w:rsidRDefault="00967792" w:rsidP="00B53355">
            <w:pPr>
              <w:spacing w:before="40" w:after="40"/>
              <w:rPr>
                <w:sz w:val="22"/>
                <w:lang w:val="es-ES"/>
              </w:rPr>
            </w:pPr>
            <w:r w:rsidRPr="00A864C4">
              <w:rPr>
                <w:sz w:val="22"/>
                <w:lang w:val="es-ES"/>
              </w:rPr>
              <w:t>–</w:t>
            </w:r>
            <w:r w:rsidRPr="00A864C4">
              <w:rPr>
                <w:sz w:val="22"/>
                <w:lang w:val="es-ES"/>
              </w:rPr>
              <w:tab/>
              <w:t>cualquier otra información y documentación pertinente.</w:t>
            </w:r>
          </w:p>
          <w:p w14:paraId="4FDEBDC0" w14:textId="77777777" w:rsidR="00967792" w:rsidRPr="00A864C4" w:rsidRDefault="00967792" w:rsidP="00B53355">
            <w:pPr>
              <w:spacing w:before="40" w:after="40"/>
              <w:rPr>
                <w:sz w:val="22"/>
                <w:lang w:val="es-ES"/>
              </w:rPr>
            </w:pPr>
            <w:r w:rsidRPr="00A864C4">
              <w:rPr>
                <w:sz w:val="22"/>
                <w:lang w:val="es-ES"/>
              </w:rPr>
              <w:t>En la sección 4.3.5 «Cumplimiento de los plazos reglamentarios para estaciones espaciales con propulsión eléctrica», la CMR-19 decidió invitar al UIT-R a estudiar si el uso de este tipo de tecnología de satélites con propulsión eléctrica debía tomarse en consideración en el Reglamento de Radiocomunicaciones para su estudio en una futura CMR competente.</w:t>
            </w:r>
          </w:p>
          <w:p w14:paraId="2F224DE9" w14:textId="77777777" w:rsidR="00967792" w:rsidRPr="00A864C4" w:rsidRDefault="00967792" w:rsidP="00B53355">
            <w:pPr>
              <w:spacing w:before="40" w:after="40"/>
              <w:rPr>
                <w:sz w:val="22"/>
                <w:lang w:val="es-ES"/>
              </w:rPr>
            </w:pPr>
            <w:r w:rsidRPr="00A864C4">
              <w:rPr>
                <w:sz w:val="22"/>
                <w:lang w:val="es-ES"/>
              </w:rPr>
              <w:t>Al examinar las solicitudes que se consideran como fuerza mayor o retraso por lanzamiento colectivo, la CMR-19 encarga a la Junta del Reglamento de Radiocomunicaciones que siga teniendo en cuenta el uso de la propulsión eléctrica caso por caso antes de tomar una decisión sobre la duración de la prórroga, en función de los méritos de cada caso.</w:t>
            </w:r>
          </w:p>
          <w:p w14:paraId="5213B158" w14:textId="77777777" w:rsidR="00967792" w:rsidRPr="00A864C4" w:rsidRDefault="00967792" w:rsidP="00B53355">
            <w:pPr>
              <w:spacing w:before="40" w:after="40"/>
              <w:rPr>
                <w:iCs/>
                <w:sz w:val="22"/>
                <w:lang w:val="es-ES"/>
              </w:rPr>
            </w:pPr>
            <w:bookmarkStart w:id="91" w:name="_Toc16501762"/>
            <w:bookmarkStart w:id="92" w:name="_Toc520420663"/>
            <w:r w:rsidRPr="00A864C4">
              <w:rPr>
                <w:sz w:val="22"/>
                <w:lang w:val="es-ES"/>
              </w:rPr>
              <w:t>En la sección 4.3.6 «Solicitudes de países en desarrollo que no se consideran como fuerza mayor o retraso del lanzamiento colectivo», la CMR-19 invita al UIT-R a examinar el asunto de las solitudes de prórroga de los plazos reglamentarios procedentes de países en desarrollo que no se consideran como fuerza mayor o retraso por lanzamiento colectivo, y a elaborar los criterios y las condiciones específicos sobre los que podría basarse la Junta del Reglamento de Radiocomunicaciones para considerar conceder una prórroga de los plazos reglamentarios a un país en desarrollo.</w:t>
            </w:r>
            <w:bookmarkStart w:id="93" w:name="_Toc16501763"/>
            <w:bookmarkStart w:id="94" w:name="_Toc4119429"/>
            <w:bookmarkEnd w:id="91"/>
          </w:p>
          <w:p w14:paraId="588764AB" w14:textId="77777777" w:rsidR="00967792" w:rsidRPr="00A864C4" w:rsidRDefault="00967792" w:rsidP="00B53355">
            <w:pPr>
              <w:spacing w:before="40" w:after="40"/>
              <w:rPr>
                <w:bCs/>
                <w:sz w:val="22"/>
                <w:lang w:val="es-ES"/>
              </w:rPr>
            </w:pPr>
            <w:r w:rsidRPr="00A864C4">
              <w:rPr>
                <w:sz w:val="22"/>
                <w:lang w:val="es-ES"/>
              </w:rPr>
              <w:t>Al estudiar la sección 4.4 de este informe sobre «Solicitud de transferencia o cambio de "administración notificante"», l</w:t>
            </w:r>
            <w:r w:rsidRPr="00A864C4">
              <w:rPr>
                <w:bCs/>
                <w:sz w:val="22"/>
                <w:lang w:val="es-ES"/>
              </w:rPr>
              <w:t xml:space="preserve">a CMR-19 confirmó el enfoque adoptado hasta el momento por la Junta para abordar los casos de cambio de administración notificante que actúa en nombre de una </w:t>
            </w:r>
            <w:r w:rsidRPr="00A864C4">
              <w:rPr>
                <w:sz w:val="22"/>
                <w:lang w:val="es-ES"/>
              </w:rPr>
              <w:t xml:space="preserve">organización intergubernamental de </w:t>
            </w:r>
            <w:r w:rsidRPr="00A864C4">
              <w:rPr>
                <w:sz w:val="22"/>
                <w:lang w:val="es-ES"/>
              </w:rPr>
              <w:lastRenderedPageBreak/>
              <w:t>telecomunicaciones por satélite</w:t>
            </w:r>
            <w:r w:rsidRPr="00A864C4">
              <w:rPr>
                <w:bCs/>
                <w:sz w:val="22"/>
                <w:lang w:val="es-ES"/>
              </w:rPr>
              <w:t xml:space="preserve"> para una red de satélites de dicha organización gubernamental, a una administración que es miembro de dicha organización que actúa en nombre propio. Además, la CMR-19 decidió que era necesaria una carta de la autoridad responsable de la </w:t>
            </w:r>
            <w:r w:rsidRPr="00A864C4">
              <w:rPr>
                <w:sz w:val="22"/>
                <w:lang w:val="es-ES"/>
              </w:rPr>
              <w:t>organización intergubernamental de telecomunicaciones por satélite</w:t>
            </w:r>
            <w:r w:rsidRPr="00A864C4">
              <w:rPr>
                <w:bCs/>
                <w:sz w:val="22"/>
                <w:lang w:val="es-ES"/>
              </w:rPr>
              <w:t xml:space="preserve"> que confirmara su acuerdo con el cambio de administración notificante. Por otra parte, la CMR-19 decidió que la Junta debía denegar toda solicitud de cambio:</w:t>
            </w:r>
          </w:p>
          <w:p w14:paraId="5D2DDCF2" w14:textId="77777777" w:rsidR="00967792" w:rsidRPr="00A864C4" w:rsidRDefault="00967792" w:rsidP="00716DF1">
            <w:pPr>
              <w:spacing w:before="40" w:after="40"/>
              <w:ind w:left="794" w:hanging="794"/>
              <w:rPr>
                <w:sz w:val="22"/>
                <w:lang w:val="es-ES"/>
              </w:rPr>
            </w:pPr>
            <w:r w:rsidRPr="00A864C4">
              <w:rPr>
                <w:sz w:val="22"/>
                <w:lang w:val="es-ES"/>
              </w:rPr>
              <w:t>–</w:t>
            </w:r>
            <w:r w:rsidRPr="00A864C4">
              <w:rPr>
                <w:sz w:val="22"/>
                <w:lang w:val="es-ES"/>
              </w:rPr>
              <w:tab/>
              <w:t>de administración notificante que actúa en nombre de una organización intergubernamental de telecomunicaciones por satélite para una red de satélites de esa organización intergubernamental, a una administración que no es miembro de esa organización;</w:t>
            </w:r>
          </w:p>
          <w:p w14:paraId="43820E2D" w14:textId="77777777" w:rsidR="00967792" w:rsidRPr="00A864C4" w:rsidRDefault="00967792" w:rsidP="00716DF1">
            <w:pPr>
              <w:spacing w:before="40" w:after="40"/>
              <w:ind w:left="794" w:hanging="794"/>
              <w:rPr>
                <w:sz w:val="22"/>
                <w:lang w:val="es-ES"/>
              </w:rPr>
            </w:pPr>
            <w:r w:rsidRPr="00A864C4">
              <w:rPr>
                <w:sz w:val="22"/>
                <w:lang w:val="es-ES"/>
              </w:rPr>
              <w:t>–</w:t>
            </w:r>
            <w:r w:rsidRPr="00A864C4">
              <w:rPr>
                <w:sz w:val="22"/>
                <w:lang w:val="es-ES"/>
              </w:rPr>
              <w:tab/>
              <w:t>de administración notificante, actuando en su propio nombre, de una red o sistema de satélites a otra administración notificante que actúe en su propio nombre; o</w:t>
            </w:r>
          </w:p>
          <w:p w14:paraId="6F669B27" w14:textId="77777777" w:rsidR="00967792" w:rsidRPr="00A864C4" w:rsidRDefault="00967792" w:rsidP="00716DF1">
            <w:pPr>
              <w:spacing w:before="40" w:after="40"/>
              <w:ind w:left="794" w:hanging="794"/>
              <w:rPr>
                <w:sz w:val="22"/>
                <w:lang w:val="es-ES"/>
              </w:rPr>
            </w:pPr>
            <w:r w:rsidRPr="00A864C4">
              <w:rPr>
                <w:sz w:val="22"/>
                <w:lang w:val="es-ES"/>
              </w:rPr>
              <w:t>–</w:t>
            </w:r>
            <w:r w:rsidRPr="00A864C4">
              <w:rPr>
                <w:sz w:val="22"/>
                <w:lang w:val="es-ES"/>
              </w:rPr>
              <w:tab/>
              <w:t>de administración notificante que actúe en nombre de un grupo de administraciones determinadas que no son miembros de una organización intergubernamental de telecomunicaciones por satélite a otra administración de ese grupo.</w:t>
            </w:r>
          </w:p>
          <w:p w14:paraId="4E5B19F5" w14:textId="77777777" w:rsidR="00967792" w:rsidRPr="00A864C4" w:rsidRDefault="00967792" w:rsidP="00B53355">
            <w:pPr>
              <w:spacing w:before="40" w:after="40"/>
              <w:rPr>
                <w:sz w:val="22"/>
                <w:lang w:val="es-ES"/>
              </w:rPr>
            </w:pPr>
            <w:bookmarkStart w:id="95" w:name="_Toc520420664"/>
            <w:bookmarkStart w:id="96" w:name="_Toc16501764"/>
            <w:bookmarkStart w:id="97" w:name="_Toc4119430"/>
            <w:bookmarkEnd w:id="92"/>
            <w:bookmarkEnd w:id="93"/>
            <w:bookmarkEnd w:id="94"/>
            <w:r w:rsidRPr="00A864C4">
              <w:rPr>
                <w:sz w:val="22"/>
                <w:lang w:val="es-ES"/>
              </w:rPr>
              <w:t xml:space="preserve">Al estudiar la sección 4.5 de este informe sobre «Interpretación de la definición de «red de satélite» en el número </w:t>
            </w:r>
            <w:r w:rsidRPr="00A864C4">
              <w:rPr>
                <w:b/>
                <w:bCs/>
                <w:sz w:val="22"/>
                <w:lang w:val="es-ES"/>
              </w:rPr>
              <w:t>1.112</w:t>
            </w:r>
            <w:r w:rsidRPr="00A864C4">
              <w:rPr>
                <w:sz w:val="22"/>
                <w:lang w:val="es-ES"/>
              </w:rPr>
              <w:t xml:space="preserve"> del RR y en la Regla de Procedimiento relativa al número </w:t>
            </w:r>
            <w:r w:rsidRPr="00A864C4">
              <w:rPr>
                <w:b/>
                <w:bCs/>
                <w:sz w:val="22"/>
                <w:lang w:val="es-ES"/>
              </w:rPr>
              <w:t>1.112</w:t>
            </w:r>
            <w:r w:rsidRPr="00A864C4">
              <w:rPr>
                <w:sz w:val="22"/>
                <w:lang w:val="es-ES"/>
              </w:rPr>
              <w:t xml:space="preserve">», </w:t>
            </w:r>
            <w:bookmarkEnd w:id="95"/>
            <w:bookmarkEnd w:id="96"/>
            <w:bookmarkEnd w:id="97"/>
            <w:r w:rsidRPr="00A864C4">
              <w:rPr>
                <w:sz w:val="22"/>
                <w:lang w:val="es-ES"/>
              </w:rPr>
              <w:t>la CMR-19 decidió que el asunto planteado en esta sección del informe se abordaba directamente en el marco del tema H del punto 7 del orden del día de la CMR-19.</w:t>
            </w:r>
          </w:p>
          <w:p w14:paraId="17FFB056" w14:textId="77777777" w:rsidR="00967792" w:rsidRPr="00A864C4" w:rsidRDefault="00967792" w:rsidP="00B53355">
            <w:pPr>
              <w:spacing w:before="40" w:after="40"/>
              <w:rPr>
                <w:sz w:val="22"/>
                <w:lang w:val="es-ES"/>
              </w:rPr>
            </w:pPr>
            <w:r w:rsidRPr="00A864C4">
              <w:rPr>
                <w:sz w:val="22"/>
                <w:lang w:val="es-ES"/>
              </w:rPr>
              <w:t>3.17</w:t>
            </w:r>
            <w:r w:rsidRPr="00A864C4">
              <w:rPr>
                <w:sz w:val="22"/>
                <w:lang w:val="es-ES"/>
              </w:rPr>
              <w:tab/>
              <w:t xml:space="preserve">Así se </w:t>
            </w:r>
            <w:r w:rsidRPr="00A864C4">
              <w:rPr>
                <w:b/>
                <w:bCs/>
                <w:sz w:val="22"/>
                <w:lang w:val="es-ES"/>
              </w:rPr>
              <w:t>acuerda</w:t>
            </w:r>
            <w:r w:rsidRPr="00A864C4">
              <w:rPr>
                <w:sz w:val="22"/>
                <w:lang w:val="es-ES"/>
              </w:rPr>
              <w:t>.</w:t>
            </w:r>
          </w:p>
          <w:p w14:paraId="637B49ED" w14:textId="5C1C1CA2" w:rsidR="00967792" w:rsidRPr="00A864C4" w:rsidRDefault="00967792" w:rsidP="00B53355">
            <w:pPr>
              <w:spacing w:before="40" w:after="40"/>
              <w:rPr>
                <w:sz w:val="22"/>
                <w:lang w:val="es-ES"/>
              </w:rPr>
            </w:pPr>
            <w:r w:rsidRPr="00A864C4">
              <w:rPr>
                <w:sz w:val="22"/>
                <w:lang w:val="es-ES"/>
              </w:rPr>
              <w:t>3.18</w:t>
            </w:r>
            <w:r w:rsidRPr="00A864C4">
              <w:rPr>
                <w:sz w:val="22"/>
                <w:lang w:val="es-ES"/>
              </w:rPr>
              <w:tab/>
              <w:t xml:space="preserve">Se </w:t>
            </w:r>
            <w:r w:rsidRPr="00A864C4">
              <w:rPr>
                <w:b/>
                <w:bCs/>
                <w:sz w:val="22"/>
                <w:lang w:val="es-ES"/>
              </w:rPr>
              <w:t>aprueba</w:t>
            </w:r>
            <w:r w:rsidRPr="00A864C4">
              <w:rPr>
                <w:sz w:val="22"/>
                <w:lang w:val="es-ES"/>
              </w:rPr>
              <w:t xml:space="preserve"> el Documento 342.</w:t>
            </w:r>
          </w:p>
        </w:tc>
        <w:tc>
          <w:tcPr>
            <w:tcW w:w="1548" w:type="pct"/>
          </w:tcPr>
          <w:p w14:paraId="4119A4AC" w14:textId="6A01DAEC" w:rsidR="00967792" w:rsidRPr="000675D8" w:rsidDel="009440F5" w:rsidRDefault="00967792" w:rsidP="00B53355">
            <w:pPr>
              <w:pStyle w:val="Tabletext"/>
              <w:rPr>
                <w:rFonts w:asciiTheme="majorBidi" w:hAnsiTheme="majorBidi" w:cstheme="majorBidi"/>
                <w:bCs/>
                <w:lang w:val="es-ES"/>
              </w:rPr>
            </w:pPr>
            <w:r>
              <w:rPr>
                <w:rFonts w:asciiTheme="majorBidi" w:hAnsiTheme="majorBidi" w:cstheme="majorBidi"/>
                <w:bCs/>
                <w:lang w:val="es-ES"/>
              </w:rPr>
              <w:lastRenderedPageBreak/>
              <w:t>La Junta aprueba</w:t>
            </w:r>
            <w:r w:rsidRPr="0094317C">
              <w:rPr>
                <w:rFonts w:asciiTheme="majorBidi" w:hAnsiTheme="majorBidi" w:cstheme="majorBidi"/>
                <w:bCs/>
                <w:lang w:val="es-ES"/>
              </w:rPr>
              <w:t xml:space="preserve"> la modificación de la </w:t>
            </w:r>
            <w:r>
              <w:rPr>
                <w:rFonts w:asciiTheme="majorBidi" w:hAnsiTheme="majorBidi" w:cstheme="majorBidi"/>
                <w:bCs/>
                <w:lang w:val="es-ES"/>
              </w:rPr>
              <w:t>R</w:t>
            </w:r>
            <w:r w:rsidRPr="0094317C">
              <w:rPr>
                <w:rFonts w:asciiTheme="majorBidi" w:hAnsiTheme="majorBidi" w:cstheme="majorBidi"/>
                <w:bCs/>
                <w:lang w:val="es-ES"/>
              </w:rPr>
              <w:t xml:space="preserve">egla de </w:t>
            </w:r>
            <w:r>
              <w:rPr>
                <w:rFonts w:asciiTheme="majorBidi" w:hAnsiTheme="majorBidi" w:cstheme="majorBidi"/>
                <w:bCs/>
                <w:lang w:val="es-ES"/>
              </w:rPr>
              <w:t>P</w:t>
            </w:r>
            <w:r w:rsidRPr="0094317C">
              <w:rPr>
                <w:rFonts w:asciiTheme="majorBidi" w:hAnsiTheme="majorBidi" w:cstheme="majorBidi"/>
                <w:bCs/>
                <w:lang w:val="es-ES"/>
              </w:rPr>
              <w:t xml:space="preserve">rocedimiento </w:t>
            </w:r>
            <w:r>
              <w:rPr>
                <w:rFonts w:asciiTheme="majorBidi" w:hAnsiTheme="majorBidi" w:cstheme="majorBidi"/>
                <w:bCs/>
                <w:lang w:val="es-ES"/>
              </w:rPr>
              <w:t xml:space="preserve">correspondiente a las </w:t>
            </w:r>
            <w:r w:rsidRPr="00266695">
              <w:rPr>
                <w:lang w:val="es-ES"/>
              </w:rPr>
              <w:t>reglas</w:t>
            </w:r>
            <w:r w:rsidRPr="0094317C">
              <w:rPr>
                <w:rFonts w:asciiTheme="majorBidi" w:hAnsiTheme="majorBidi" w:cstheme="majorBidi"/>
                <w:bCs/>
                <w:lang w:val="es-ES"/>
              </w:rPr>
              <w:t xml:space="preserve"> relacionadas con los sistemas de satélite </w:t>
            </w:r>
            <w:r w:rsidRPr="00266695">
              <w:rPr>
                <w:lang w:val="es-ES"/>
              </w:rPr>
              <w:t>notificados</w:t>
            </w:r>
            <w:r w:rsidRPr="0094317C">
              <w:rPr>
                <w:rFonts w:asciiTheme="majorBidi" w:hAnsiTheme="majorBidi" w:cstheme="majorBidi"/>
                <w:bCs/>
                <w:lang w:val="es-ES"/>
              </w:rPr>
              <w:t xml:space="preserve"> por una administración en nombre de un grupo de administraciones designadas</w:t>
            </w:r>
            <w:r>
              <w:rPr>
                <w:rFonts w:asciiTheme="majorBidi" w:hAnsiTheme="majorBidi" w:cstheme="majorBidi"/>
                <w:bCs/>
                <w:lang w:val="es-ES"/>
              </w:rPr>
              <w:t xml:space="preserve"> pertinentes para</w:t>
            </w:r>
            <w:r w:rsidRPr="0094317C">
              <w:rPr>
                <w:rFonts w:asciiTheme="majorBidi" w:hAnsiTheme="majorBidi" w:cstheme="majorBidi"/>
                <w:bCs/>
                <w:lang w:val="es-ES"/>
              </w:rPr>
              <w:t xml:space="preserve"> los números</w:t>
            </w:r>
            <w:r w:rsidRPr="00D2027A">
              <w:rPr>
                <w:rFonts w:asciiTheme="majorBidi" w:hAnsiTheme="majorBidi" w:cstheme="majorBidi"/>
                <w:bCs/>
                <w:lang w:val="es-ES"/>
              </w:rPr>
              <w:t xml:space="preserve"> </w:t>
            </w:r>
            <w:r w:rsidRPr="00D2027A">
              <w:rPr>
                <w:rFonts w:asciiTheme="majorBidi" w:hAnsiTheme="majorBidi" w:cstheme="majorBidi"/>
                <w:b/>
                <w:bCs/>
                <w:lang w:val="es-ES"/>
              </w:rPr>
              <w:t>9.1.1</w:t>
            </w:r>
            <w:r w:rsidRPr="00D2027A">
              <w:rPr>
                <w:rFonts w:asciiTheme="majorBidi" w:hAnsiTheme="majorBidi" w:cstheme="majorBidi"/>
                <w:bCs/>
                <w:lang w:val="es-ES"/>
              </w:rPr>
              <w:t xml:space="preserve">, </w:t>
            </w:r>
            <w:r w:rsidRPr="00D2027A">
              <w:rPr>
                <w:rFonts w:asciiTheme="majorBidi" w:hAnsiTheme="majorBidi" w:cstheme="majorBidi"/>
                <w:b/>
                <w:bCs/>
                <w:lang w:val="es-ES"/>
              </w:rPr>
              <w:t>9.6.1</w:t>
            </w:r>
            <w:r w:rsidRPr="00D2027A">
              <w:rPr>
                <w:rFonts w:asciiTheme="majorBidi" w:hAnsiTheme="majorBidi" w:cstheme="majorBidi"/>
                <w:bCs/>
                <w:lang w:val="es-ES"/>
              </w:rPr>
              <w:t xml:space="preserve">, </w:t>
            </w:r>
            <w:r w:rsidRPr="00D2027A">
              <w:rPr>
                <w:rFonts w:asciiTheme="majorBidi" w:hAnsiTheme="majorBidi" w:cstheme="majorBidi"/>
                <w:b/>
                <w:bCs/>
                <w:lang w:val="es-ES"/>
              </w:rPr>
              <w:t>11.15.1</w:t>
            </w:r>
            <w:r w:rsidRPr="00D2027A">
              <w:rPr>
                <w:rFonts w:asciiTheme="majorBidi" w:hAnsiTheme="majorBidi" w:cstheme="majorBidi"/>
                <w:bCs/>
                <w:lang w:val="es-ES"/>
              </w:rPr>
              <w:t xml:space="preserve">, </w:t>
            </w:r>
            <w:r>
              <w:rPr>
                <w:rFonts w:asciiTheme="majorBidi" w:hAnsiTheme="majorBidi" w:cstheme="majorBidi"/>
                <w:bCs/>
                <w:lang w:val="es-ES"/>
              </w:rPr>
              <w:t xml:space="preserve">puntos </w:t>
            </w:r>
            <w:r w:rsidRPr="00D2027A">
              <w:rPr>
                <w:rFonts w:asciiTheme="majorBidi" w:hAnsiTheme="majorBidi" w:cstheme="majorBidi"/>
                <w:bCs/>
                <w:lang w:val="es-ES"/>
              </w:rPr>
              <w:t xml:space="preserve">A.1.f.2 </w:t>
            </w:r>
            <w:r>
              <w:rPr>
                <w:rFonts w:asciiTheme="majorBidi" w:hAnsiTheme="majorBidi" w:cstheme="majorBidi"/>
                <w:bCs/>
                <w:lang w:val="es-ES"/>
              </w:rPr>
              <w:t>y</w:t>
            </w:r>
            <w:r w:rsidRPr="00D2027A">
              <w:rPr>
                <w:rFonts w:asciiTheme="majorBidi" w:hAnsiTheme="majorBidi" w:cstheme="majorBidi"/>
                <w:bCs/>
                <w:lang w:val="es-ES"/>
              </w:rPr>
              <w:t xml:space="preserve"> A.1.f.3</w:t>
            </w:r>
            <w:r>
              <w:rPr>
                <w:rFonts w:asciiTheme="majorBidi" w:hAnsiTheme="majorBidi" w:cstheme="majorBidi"/>
                <w:bCs/>
                <w:lang w:val="es-ES"/>
              </w:rPr>
              <w:t xml:space="preserve"> del Anexo 2 del Apéndice</w:t>
            </w:r>
            <w:r w:rsidRPr="00D2027A">
              <w:rPr>
                <w:rFonts w:asciiTheme="majorBidi" w:hAnsiTheme="majorBidi" w:cstheme="majorBidi"/>
                <w:bCs/>
                <w:lang w:val="es-ES"/>
              </w:rPr>
              <w:t xml:space="preserve"> </w:t>
            </w:r>
            <w:r w:rsidRPr="00D2027A">
              <w:rPr>
                <w:rFonts w:asciiTheme="majorBidi" w:hAnsiTheme="majorBidi" w:cstheme="majorBidi"/>
                <w:b/>
                <w:bCs/>
                <w:lang w:val="es-ES"/>
              </w:rPr>
              <w:t>4</w:t>
            </w:r>
            <w:r w:rsidRPr="00D2027A">
              <w:rPr>
                <w:rFonts w:asciiTheme="majorBidi" w:hAnsiTheme="majorBidi" w:cstheme="majorBidi"/>
                <w:bCs/>
                <w:lang w:val="es-ES"/>
              </w:rPr>
              <w:t xml:space="preserve">, </w:t>
            </w:r>
            <w:r>
              <w:rPr>
                <w:rFonts w:asciiTheme="majorBidi" w:hAnsiTheme="majorBidi" w:cstheme="majorBidi"/>
                <w:bCs/>
                <w:lang w:val="es-ES"/>
              </w:rPr>
              <w:t>Apéndice</w:t>
            </w:r>
            <w:r w:rsidRPr="00D2027A">
              <w:rPr>
                <w:rFonts w:asciiTheme="majorBidi" w:hAnsiTheme="majorBidi" w:cstheme="majorBidi"/>
                <w:bCs/>
                <w:lang w:val="es-ES"/>
              </w:rPr>
              <w:t xml:space="preserve"> </w:t>
            </w:r>
            <w:r w:rsidRPr="00D2027A">
              <w:rPr>
                <w:rFonts w:asciiTheme="majorBidi" w:hAnsiTheme="majorBidi" w:cstheme="majorBidi"/>
                <w:b/>
                <w:bCs/>
                <w:lang w:val="es-ES"/>
              </w:rPr>
              <w:t>30</w:t>
            </w:r>
            <w:r w:rsidRPr="00D2027A">
              <w:rPr>
                <w:rFonts w:asciiTheme="majorBidi" w:hAnsiTheme="majorBidi" w:cstheme="majorBidi"/>
                <w:bCs/>
                <w:lang w:val="es-ES"/>
              </w:rPr>
              <w:t xml:space="preserve"> (4.1.3, 4.1.25, 4.2.6, 5.1.1), </w:t>
            </w:r>
            <w:r>
              <w:rPr>
                <w:rFonts w:asciiTheme="majorBidi" w:hAnsiTheme="majorBidi" w:cstheme="majorBidi"/>
                <w:bCs/>
                <w:lang w:val="es-ES"/>
              </w:rPr>
              <w:t>Apéndice</w:t>
            </w:r>
            <w:r w:rsidRPr="00D2027A">
              <w:rPr>
                <w:rFonts w:asciiTheme="majorBidi" w:hAnsiTheme="majorBidi" w:cstheme="majorBidi"/>
                <w:bCs/>
                <w:lang w:val="es-ES"/>
              </w:rPr>
              <w:t xml:space="preserve"> </w:t>
            </w:r>
            <w:r w:rsidRPr="00D2027A">
              <w:rPr>
                <w:rFonts w:asciiTheme="majorBidi" w:hAnsiTheme="majorBidi" w:cstheme="majorBidi"/>
                <w:b/>
                <w:bCs/>
                <w:lang w:val="es-ES"/>
              </w:rPr>
              <w:t>30A</w:t>
            </w:r>
            <w:r w:rsidRPr="00D2027A">
              <w:rPr>
                <w:rFonts w:asciiTheme="majorBidi" w:hAnsiTheme="majorBidi" w:cstheme="majorBidi"/>
                <w:bCs/>
                <w:lang w:val="es-ES"/>
              </w:rPr>
              <w:t xml:space="preserve"> (4.1.3, 4.1.25, 4.2.6,</w:t>
            </w:r>
            <w:r w:rsidR="000675D8">
              <w:rPr>
                <w:rFonts w:asciiTheme="majorBidi" w:hAnsiTheme="majorBidi" w:cstheme="majorBidi"/>
                <w:bCs/>
                <w:lang w:val="es-ES"/>
              </w:rPr>
              <w:t xml:space="preserve"> </w:t>
            </w:r>
            <w:r w:rsidRPr="00D2027A">
              <w:rPr>
                <w:rFonts w:asciiTheme="majorBidi" w:hAnsiTheme="majorBidi" w:cstheme="majorBidi"/>
                <w:bCs/>
                <w:lang w:val="es-ES"/>
              </w:rPr>
              <w:t>5.1.2)</w:t>
            </w:r>
            <w:r>
              <w:rPr>
                <w:rFonts w:asciiTheme="majorBidi" w:hAnsiTheme="majorBidi" w:cstheme="majorBidi"/>
                <w:bCs/>
                <w:lang w:val="es-ES"/>
              </w:rPr>
              <w:t xml:space="preserve"> y</w:t>
            </w:r>
            <w:r w:rsidRPr="00D2027A">
              <w:rPr>
                <w:rFonts w:asciiTheme="majorBidi" w:hAnsiTheme="majorBidi" w:cstheme="majorBidi"/>
                <w:bCs/>
                <w:lang w:val="es-ES"/>
              </w:rPr>
              <w:t xml:space="preserve"> </w:t>
            </w:r>
            <w:r>
              <w:rPr>
                <w:rFonts w:asciiTheme="majorBidi" w:hAnsiTheme="majorBidi" w:cstheme="majorBidi"/>
                <w:bCs/>
                <w:lang w:val="es-ES"/>
              </w:rPr>
              <w:t>Apéndice</w:t>
            </w:r>
            <w:r w:rsidRPr="00D2027A">
              <w:rPr>
                <w:rFonts w:asciiTheme="majorBidi" w:hAnsiTheme="majorBidi" w:cstheme="majorBidi"/>
                <w:bCs/>
                <w:lang w:val="es-ES"/>
              </w:rPr>
              <w:t xml:space="preserve"> </w:t>
            </w:r>
            <w:r w:rsidRPr="00D2027A">
              <w:rPr>
                <w:rFonts w:asciiTheme="majorBidi" w:hAnsiTheme="majorBidi" w:cstheme="majorBidi"/>
                <w:b/>
                <w:bCs/>
                <w:lang w:val="es-ES"/>
              </w:rPr>
              <w:t>30B</w:t>
            </w:r>
            <w:r w:rsidRPr="00D2027A">
              <w:rPr>
                <w:rFonts w:asciiTheme="majorBidi" w:hAnsiTheme="majorBidi" w:cstheme="majorBidi"/>
                <w:bCs/>
                <w:lang w:val="es-ES"/>
              </w:rPr>
              <w:t xml:space="preserve"> (2.6, 6.1), </w:t>
            </w:r>
            <w:r>
              <w:rPr>
                <w:rFonts w:asciiTheme="majorBidi" w:hAnsiTheme="majorBidi" w:cstheme="majorBidi"/>
                <w:bCs/>
                <w:lang w:val="es-ES"/>
              </w:rPr>
              <w:t>en su 84ª</w:t>
            </w:r>
            <w:r w:rsidR="000675D8">
              <w:rPr>
                <w:rFonts w:asciiTheme="majorBidi" w:hAnsiTheme="majorBidi" w:cstheme="majorBidi"/>
                <w:bCs/>
                <w:lang w:val="es-ES"/>
              </w:rPr>
              <w:t> </w:t>
            </w:r>
            <w:r>
              <w:rPr>
                <w:rFonts w:asciiTheme="majorBidi" w:hAnsiTheme="majorBidi" w:cstheme="majorBidi"/>
                <w:bCs/>
                <w:lang w:val="es-ES"/>
              </w:rPr>
              <w:t>reunión</w:t>
            </w:r>
            <w:r w:rsidRPr="00D2027A">
              <w:rPr>
                <w:rFonts w:asciiTheme="majorBidi" w:hAnsiTheme="majorBidi" w:cstheme="majorBidi"/>
                <w:bCs/>
                <w:lang w:val="es-ES"/>
              </w:rPr>
              <w:t xml:space="preserve"> (</w:t>
            </w:r>
            <w:hyperlink r:id="rId240" w:history="1">
              <w:r w:rsidRPr="00D2027A">
                <w:rPr>
                  <w:rStyle w:val="Hyperlink"/>
                  <w:rFonts w:asciiTheme="majorBidi" w:hAnsiTheme="majorBidi" w:cstheme="majorBidi"/>
                  <w:bCs/>
                  <w:lang w:val="es-ES"/>
                </w:rPr>
                <w:t>CR/465</w:t>
              </w:r>
            </w:hyperlink>
            <w:r w:rsidRPr="00D2027A">
              <w:rPr>
                <w:rFonts w:asciiTheme="majorBidi" w:hAnsiTheme="majorBidi" w:cstheme="majorBidi"/>
                <w:bCs/>
                <w:lang w:val="es-ES"/>
              </w:rPr>
              <w:t>).</w:t>
            </w:r>
          </w:p>
        </w:tc>
      </w:tr>
      <w:tr w:rsidR="00967792" w:rsidRPr="00D2027A" w14:paraId="09840341" w14:textId="77777777" w:rsidTr="00924C8B">
        <w:trPr>
          <w:jc w:val="center"/>
        </w:trPr>
        <w:tc>
          <w:tcPr>
            <w:tcW w:w="183" w:type="pct"/>
          </w:tcPr>
          <w:p w14:paraId="7482A834" w14:textId="20190C93" w:rsidR="00967792" w:rsidRPr="00A616CA" w:rsidRDefault="00967792" w:rsidP="00F65386">
            <w:pPr>
              <w:pStyle w:val="Tabletext"/>
              <w:keepNext/>
              <w:keepLines/>
              <w:rPr>
                <w:lang w:val="es-ES"/>
              </w:rPr>
            </w:pPr>
            <w:r w:rsidRPr="00A616CA">
              <w:rPr>
                <w:lang w:val="es-ES"/>
              </w:rPr>
              <w:lastRenderedPageBreak/>
              <w:t>76</w:t>
            </w:r>
          </w:p>
        </w:tc>
        <w:tc>
          <w:tcPr>
            <w:tcW w:w="434" w:type="pct"/>
          </w:tcPr>
          <w:p w14:paraId="537BBD10" w14:textId="1D830EFB" w:rsidR="00967792" w:rsidRPr="00A616CA" w:rsidRDefault="00967792" w:rsidP="00F65386">
            <w:pPr>
              <w:pStyle w:val="Tabletext"/>
              <w:keepNext/>
              <w:keepLines/>
              <w:rPr>
                <w:lang w:val="es-ES"/>
              </w:rPr>
            </w:pPr>
            <w:r w:rsidRPr="00A616CA">
              <w:rPr>
                <w:lang w:val="es-ES"/>
              </w:rPr>
              <w:t>CMR-19</w:t>
            </w:r>
          </w:p>
        </w:tc>
        <w:tc>
          <w:tcPr>
            <w:tcW w:w="523" w:type="pct"/>
          </w:tcPr>
          <w:p w14:paraId="3E4E6AA7" w14:textId="3E5DC9E1" w:rsidR="00967792" w:rsidRPr="00D2027A" w:rsidRDefault="00967792" w:rsidP="00F65386">
            <w:pPr>
              <w:pStyle w:val="Tabletext"/>
              <w:keepNext/>
              <w:keepLines/>
              <w:rPr>
                <w:rFonts w:asciiTheme="majorBidi" w:hAnsiTheme="majorBidi" w:cstheme="majorBidi"/>
                <w:bCs/>
                <w:szCs w:val="24"/>
                <w:lang w:val="es-ES"/>
              </w:rPr>
            </w:pPr>
            <w:r w:rsidRPr="00D2027A">
              <w:rPr>
                <w:rFonts w:asciiTheme="majorBidi" w:hAnsiTheme="majorBidi" w:cstheme="majorBidi"/>
                <w:bCs/>
                <w:szCs w:val="24"/>
                <w:lang w:val="es-ES"/>
              </w:rPr>
              <w:t>8ª</w:t>
            </w:r>
            <w:r w:rsidRPr="00D2027A">
              <w:rPr>
                <w:rFonts w:asciiTheme="majorBidi" w:hAnsiTheme="majorBidi" w:cstheme="majorBidi"/>
                <w:bCs/>
                <w:szCs w:val="24"/>
                <w:vertAlign w:val="superscript"/>
                <w:lang w:val="es-ES"/>
              </w:rPr>
              <w:t xml:space="preserve"> </w:t>
            </w:r>
            <w:r w:rsidRPr="00D2027A">
              <w:rPr>
                <w:rFonts w:asciiTheme="majorBidi" w:hAnsiTheme="majorBidi" w:cstheme="majorBidi"/>
                <w:bCs/>
                <w:szCs w:val="24"/>
                <w:lang w:val="es-ES"/>
              </w:rPr>
              <w:t>Plenaria</w:t>
            </w:r>
            <w:r w:rsidR="002D0088">
              <w:rPr>
                <w:rFonts w:asciiTheme="majorBidi" w:hAnsiTheme="majorBidi" w:cstheme="majorBidi"/>
                <w:bCs/>
                <w:szCs w:val="24"/>
                <w:lang w:val="es-ES"/>
              </w:rPr>
              <w:br/>
            </w:r>
            <w:r w:rsidRPr="00D2027A">
              <w:rPr>
                <w:rFonts w:asciiTheme="majorBidi" w:hAnsiTheme="majorBidi" w:cstheme="majorBidi"/>
                <w:bCs/>
                <w:szCs w:val="24"/>
                <w:lang w:val="es-ES"/>
              </w:rPr>
              <w:t xml:space="preserve">Doc. </w:t>
            </w:r>
            <w:hyperlink r:id="rId241" w:history="1">
              <w:r w:rsidRPr="00D2027A">
                <w:rPr>
                  <w:rStyle w:val="Hyperlink"/>
                  <w:rFonts w:asciiTheme="majorBidi" w:hAnsiTheme="majorBidi" w:cstheme="majorBidi"/>
                  <w:bCs/>
                  <w:szCs w:val="24"/>
                  <w:lang w:val="es-ES"/>
                </w:rPr>
                <w:t>CMR19/569</w:t>
              </w:r>
            </w:hyperlink>
          </w:p>
          <w:p w14:paraId="4D10F77D" w14:textId="19BCC255" w:rsidR="00967792" w:rsidRPr="00D2027A" w:rsidRDefault="00967792" w:rsidP="00F65386">
            <w:pPr>
              <w:pStyle w:val="Tabletext"/>
              <w:keepNext/>
              <w:keepLines/>
              <w:rPr>
                <w:rFonts w:asciiTheme="majorBidi" w:hAnsiTheme="majorBidi" w:cstheme="majorBidi"/>
                <w:bCs/>
                <w:szCs w:val="24"/>
                <w:lang w:val="es-ES"/>
              </w:rPr>
            </w:pPr>
            <w:r w:rsidRPr="00A864C4">
              <w:rPr>
                <w:lang w:val="es-ES"/>
              </w:rPr>
              <w:t>Aprobación</w:t>
            </w:r>
            <w:r>
              <w:rPr>
                <w:rFonts w:asciiTheme="majorBidi" w:hAnsiTheme="majorBidi" w:cstheme="majorBidi"/>
                <w:bCs/>
                <w:szCs w:val="24"/>
                <w:lang w:val="es-ES"/>
              </w:rPr>
              <w:t xml:space="preserve"> del Documento</w:t>
            </w:r>
            <w:r w:rsidRPr="00D2027A">
              <w:rPr>
                <w:rFonts w:asciiTheme="majorBidi" w:hAnsiTheme="majorBidi" w:cstheme="majorBidi"/>
                <w:bCs/>
                <w:szCs w:val="24"/>
                <w:lang w:val="es-ES"/>
              </w:rPr>
              <w:t xml:space="preserve"> </w:t>
            </w:r>
            <w:hyperlink r:id="rId242" w:history="1">
              <w:r w:rsidRPr="00D2027A">
                <w:rPr>
                  <w:rStyle w:val="Hyperlink"/>
                  <w:rFonts w:asciiTheme="majorBidi" w:hAnsiTheme="majorBidi" w:cstheme="majorBidi"/>
                  <w:bCs/>
                  <w:szCs w:val="24"/>
                  <w:lang w:val="es-ES"/>
                </w:rPr>
                <w:t>CMR19/471</w:t>
              </w:r>
            </w:hyperlink>
          </w:p>
        </w:tc>
        <w:tc>
          <w:tcPr>
            <w:tcW w:w="2312" w:type="pct"/>
          </w:tcPr>
          <w:p w14:paraId="30427854" w14:textId="5F2BA887" w:rsidR="00967792" w:rsidRPr="00A864C4" w:rsidRDefault="00967792" w:rsidP="00F65386">
            <w:pPr>
              <w:keepNext/>
              <w:keepLines/>
              <w:spacing w:before="40" w:after="40"/>
              <w:rPr>
                <w:bCs/>
                <w:sz w:val="22"/>
                <w:lang w:val="es-ES"/>
              </w:rPr>
            </w:pPr>
            <w:r w:rsidRPr="00A864C4">
              <w:rPr>
                <w:sz w:val="22"/>
                <w:lang w:val="es-ES"/>
              </w:rPr>
              <w:t>3.19</w:t>
            </w:r>
            <w:r w:rsidRPr="00A864C4">
              <w:rPr>
                <w:sz w:val="22"/>
                <w:lang w:val="es-ES"/>
              </w:rPr>
              <w:tab/>
              <w:t xml:space="preserve">El </w:t>
            </w:r>
            <w:r w:rsidRPr="00A864C4">
              <w:rPr>
                <w:b/>
                <w:bCs/>
                <w:sz w:val="22"/>
                <w:lang w:val="es-ES"/>
              </w:rPr>
              <w:t>Presidente de la Comisión 6</w:t>
            </w:r>
            <w:r w:rsidRPr="00A864C4">
              <w:rPr>
                <w:sz w:val="22"/>
                <w:lang w:val="es-ES"/>
              </w:rPr>
              <w:t xml:space="preserve"> presenta el Documento 471, en el que figura el cuarto informe de esta Comisión a la Plenaria sobre sus conclusiones en relación con el punto 4 del orden del día y las Resoluciones 85 (CMR-03) y 750 (Rev.CMR-15). Tras examinar las propuestas pertinentes relativas al punto 4 del orden del día, y previa consulta con el Grupo de Trabajo 5B, la Comisión 6 ha acordado mantener sin modificaciones la Resolución 85 (CMR-03). Asimismo, llegó a la conclusión de que no era necesario modificar la Resolución</w:t>
            </w:r>
            <w:r w:rsidR="0025704A">
              <w:rPr>
                <w:sz w:val="22"/>
                <w:lang w:val="es-ES"/>
              </w:rPr>
              <w:t> </w:t>
            </w:r>
            <w:r w:rsidRPr="00A864C4">
              <w:rPr>
                <w:sz w:val="22"/>
                <w:lang w:val="es-ES"/>
              </w:rPr>
              <w:t>750 (Rev.CMR-15) en relación con el punto 4 del orden del día.</w:t>
            </w:r>
            <w:bookmarkStart w:id="98" w:name="lt_pId279"/>
            <w:r w:rsidRPr="00A864C4">
              <w:rPr>
                <w:b/>
                <w:sz w:val="22"/>
                <w:lang w:val="es-ES"/>
              </w:rPr>
              <w:t xml:space="preserve"> </w:t>
            </w:r>
            <w:r w:rsidRPr="00A864C4">
              <w:rPr>
                <w:sz w:val="22"/>
                <w:lang w:val="es-ES"/>
              </w:rPr>
              <w:t>Por último, propone que se incluya en las actas de la Plenaria la siguiente interpretación del Asesor Jurídico de la UIT en cuanto a la Conferencia:</w:t>
            </w:r>
            <w:bookmarkEnd w:id="98"/>
          </w:p>
          <w:p w14:paraId="010EFF4B" w14:textId="77777777" w:rsidR="00967792" w:rsidRPr="00A864C4" w:rsidRDefault="00967792" w:rsidP="00F65386">
            <w:pPr>
              <w:keepNext/>
              <w:keepLines/>
              <w:spacing w:before="40" w:after="40"/>
              <w:rPr>
                <w:sz w:val="22"/>
                <w:lang w:val="es-ES"/>
              </w:rPr>
            </w:pPr>
            <w:r w:rsidRPr="00A864C4">
              <w:rPr>
                <w:sz w:val="22"/>
                <w:lang w:val="es-ES"/>
              </w:rPr>
              <w:t xml:space="preserve">«Al interpretar la Resolución </w:t>
            </w:r>
            <w:r w:rsidRPr="00A864C4">
              <w:rPr>
                <w:b/>
                <w:bCs/>
                <w:sz w:val="22"/>
                <w:lang w:val="es-ES"/>
              </w:rPr>
              <w:t>750 (Rev.CMR-15),</w:t>
            </w:r>
            <w:r w:rsidRPr="00A864C4">
              <w:rPr>
                <w:sz w:val="22"/>
                <w:lang w:val="es-ES"/>
              </w:rPr>
              <w:t xml:space="preserve"> el </w:t>
            </w:r>
            <w:r w:rsidRPr="00A864C4">
              <w:rPr>
                <w:i/>
                <w:iCs/>
                <w:sz w:val="22"/>
                <w:lang w:val="es-ES"/>
              </w:rPr>
              <w:t>resuelve</w:t>
            </w:r>
            <w:r w:rsidRPr="00A864C4">
              <w:rPr>
                <w:sz w:val="22"/>
                <w:lang w:val="es-ES"/>
              </w:rPr>
              <w:t xml:space="preserve"> 1 y el Cuadro 1-1 de esta Resolución se refieren a los límites obligatorios, mientras que el </w:t>
            </w:r>
            <w:r w:rsidRPr="00A864C4">
              <w:rPr>
                <w:i/>
                <w:iCs/>
                <w:sz w:val="22"/>
                <w:lang w:val="es-ES"/>
              </w:rPr>
              <w:t>resuelve</w:t>
            </w:r>
            <w:r w:rsidRPr="00A864C4">
              <w:rPr>
                <w:sz w:val="22"/>
                <w:lang w:val="es-ES"/>
              </w:rPr>
              <w:t xml:space="preserve"> 2 y el Cuadro 1-2 se refieren a los límites no obligatorios».</w:t>
            </w:r>
          </w:p>
          <w:p w14:paraId="37648C61" w14:textId="77777777" w:rsidR="00967792" w:rsidRPr="00A864C4" w:rsidRDefault="00967792" w:rsidP="00F65386">
            <w:pPr>
              <w:keepNext/>
              <w:keepLines/>
              <w:spacing w:before="40" w:after="40"/>
              <w:rPr>
                <w:sz w:val="22"/>
                <w:lang w:val="es-ES"/>
              </w:rPr>
            </w:pPr>
            <w:r w:rsidRPr="00A864C4">
              <w:rPr>
                <w:sz w:val="22"/>
                <w:lang w:val="es-ES"/>
              </w:rPr>
              <w:t>3.20</w:t>
            </w:r>
            <w:r w:rsidRPr="00A864C4">
              <w:rPr>
                <w:sz w:val="22"/>
                <w:lang w:val="es-ES"/>
              </w:rPr>
              <w:tab/>
              <w:t xml:space="preserve">Así se </w:t>
            </w:r>
            <w:r w:rsidRPr="00A864C4">
              <w:rPr>
                <w:b/>
                <w:bCs/>
                <w:sz w:val="22"/>
                <w:lang w:val="es-ES"/>
              </w:rPr>
              <w:t>acuerda</w:t>
            </w:r>
            <w:r w:rsidRPr="00A864C4">
              <w:rPr>
                <w:sz w:val="22"/>
                <w:lang w:val="es-ES"/>
              </w:rPr>
              <w:t>.</w:t>
            </w:r>
          </w:p>
          <w:p w14:paraId="1EF346BC" w14:textId="68DD60CD" w:rsidR="00967792" w:rsidRPr="00A864C4" w:rsidRDefault="00967792" w:rsidP="00F65386">
            <w:pPr>
              <w:keepNext/>
              <w:keepLines/>
              <w:spacing w:before="40" w:after="40"/>
              <w:rPr>
                <w:sz w:val="22"/>
                <w:lang w:val="es-ES"/>
              </w:rPr>
            </w:pPr>
            <w:r w:rsidRPr="00A864C4">
              <w:rPr>
                <w:sz w:val="22"/>
                <w:lang w:val="es-ES"/>
              </w:rPr>
              <w:t>3.21</w:t>
            </w:r>
            <w:r w:rsidRPr="00A864C4">
              <w:rPr>
                <w:sz w:val="22"/>
                <w:lang w:val="es-ES"/>
              </w:rPr>
              <w:tab/>
              <w:t xml:space="preserve">Se </w:t>
            </w:r>
            <w:r w:rsidRPr="00A864C4">
              <w:rPr>
                <w:b/>
                <w:bCs/>
                <w:sz w:val="22"/>
                <w:lang w:val="es-ES"/>
              </w:rPr>
              <w:t>aprueba</w:t>
            </w:r>
            <w:r w:rsidRPr="00A864C4">
              <w:rPr>
                <w:sz w:val="22"/>
                <w:lang w:val="es-ES"/>
              </w:rPr>
              <w:t xml:space="preserve"> el Documento 471.</w:t>
            </w:r>
          </w:p>
        </w:tc>
        <w:tc>
          <w:tcPr>
            <w:tcW w:w="1548" w:type="pct"/>
          </w:tcPr>
          <w:p w14:paraId="2FEF4703" w14:textId="67E6F5B7" w:rsidR="00967792" w:rsidRPr="00D2027A" w:rsidDel="009440F5" w:rsidRDefault="00967792" w:rsidP="00F65386">
            <w:pPr>
              <w:pStyle w:val="Tabletext"/>
              <w:keepNext/>
              <w:keepLines/>
              <w:rPr>
                <w:rFonts w:asciiTheme="majorBidi" w:hAnsiTheme="majorBidi" w:cstheme="majorBidi"/>
                <w:szCs w:val="24"/>
                <w:lang w:val="es-ES"/>
              </w:rPr>
            </w:pPr>
            <w:r w:rsidRPr="00C27465">
              <w:rPr>
                <w:rFonts w:asciiTheme="majorBidi" w:hAnsiTheme="majorBidi" w:cstheme="majorBidi"/>
                <w:bCs/>
                <w:lang w:val="es-ES"/>
              </w:rPr>
              <w:t xml:space="preserve">La Junta decide incluir la decisión como nota en </w:t>
            </w:r>
            <w:r w:rsidRPr="00266695">
              <w:rPr>
                <w:lang w:val="es-ES"/>
              </w:rPr>
              <w:t>las</w:t>
            </w:r>
            <w:r w:rsidRPr="00C27465">
              <w:rPr>
                <w:rFonts w:asciiTheme="majorBidi" w:hAnsiTheme="majorBidi" w:cstheme="majorBidi"/>
                <w:bCs/>
                <w:lang w:val="es-ES"/>
              </w:rPr>
              <w:t xml:space="preserve"> Regla</w:t>
            </w:r>
            <w:r>
              <w:rPr>
                <w:rFonts w:asciiTheme="majorBidi" w:hAnsiTheme="majorBidi" w:cstheme="majorBidi"/>
                <w:bCs/>
                <w:lang w:val="es-ES"/>
              </w:rPr>
              <w:t>s</w:t>
            </w:r>
            <w:r w:rsidRPr="00C27465">
              <w:rPr>
                <w:rFonts w:asciiTheme="majorBidi" w:hAnsiTheme="majorBidi" w:cstheme="majorBidi"/>
                <w:bCs/>
                <w:lang w:val="es-ES"/>
              </w:rPr>
              <w:t xml:space="preserve"> de Procedimiento </w:t>
            </w:r>
            <w:r>
              <w:rPr>
                <w:rFonts w:asciiTheme="majorBidi" w:hAnsiTheme="majorBidi" w:cstheme="majorBidi"/>
                <w:bCs/>
                <w:lang w:val="es-ES"/>
              </w:rPr>
              <w:t>pertinentes correspondientes</w:t>
            </w:r>
            <w:r w:rsidRPr="00C27465">
              <w:rPr>
                <w:rFonts w:asciiTheme="majorBidi" w:hAnsiTheme="majorBidi" w:cstheme="majorBidi"/>
                <w:bCs/>
                <w:lang w:val="es-ES"/>
              </w:rPr>
              <w:t xml:space="preserve"> </w:t>
            </w:r>
            <w:r>
              <w:rPr>
                <w:rFonts w:asciiTheme="majorBidi" w:hAnsiTheme="majorBidi" w:cstheme="majorBidi"/>
                <w:bCs/>
                <w:lang w:val="es-ES"/>
              </w:rPr>
              <w:t xml:space="preserve">a la Resolución </w:t>
            </w:r>
            <w:r w:rsidRPr="005B686F">
              <w:rPr>
                <w:rFonts w:asciiTheme="majorBidi" w:hAnsiTheme="majorBidi" w:cstheme="majorBidi"/>
                <w:b/>
                <w:lang w:val="es-ES"/>
              </w:rPr>
              <w:t>571</w:t>
            </w:r>
            <w:r>
              <w:rPr>
                <w:rFonts w:asciiTheme="majorBidi" w:hAnsiTheme="majorBidi" w:cstheme="majorBidi"/>
                <w:bCs/>
                <w:lang w:val="es-ES"/>
              </w:rPr>
              <w:t xml:space="preserve"> del RR </w:t>
            </w:r>
            <w:r w:rsidRPr="00C27465">
              <w:rPr>
                <w:rFonts w:asciiTheme="majorBidi" w:hAnsiTheme="majorBidi" w:cstheme="majorBidi"/>
                <w:bCs/>
                <w:lang w:val="es-ES"/>
              </w:rPr>
              <w:t xml:space="preserve">en su </w:t>
            </w:r>
            <w:r>
              <w:rPr>
                <w:rFonts w:asciiTheme="majorBidi" w:hAnsiTheme="majorBidi" w:cstheme="majorBidi"/>
                <w:bCs/>
                <w:lang w:val="es-ES"/>
              </w:rPr>
              <w:t>85</w:t>
            </w:r>
            <w:r w:rsidRPr="00C27465">
              <w:rPr>
                <w:rFonts w:asciiTheme="majorBidi" w:hAnsiTheme="majorBidi" w:cstheme="majorBidi"/>
                <w:bCs/>
                <w:lang w:val="es-ES"/>
              </w:rPr>
              <w:t xml:space="preserve">ª reunión </w:t>
            </w:r>
            <w:r w:rsidRPr="00D2027A">
              <w:rPr>
                <w:rFonts w:asciiTheme="majorBidi" w:hAnsiTheme="majorBidi" w:cstheme="majorBidi"/>
                <w:bCs/>
                <w:lang w:val="es-ES"/>
              </w:rPr>
              <w:t>(</w:t>
            </w:r>
            <w:hyperlink r:id="rId243" w:history="1">
              <w:r w:rsidRPr="00D2027A">
                <w:rPr>
                  <w:rStyle w:val="Hyperlink"/>
                  <w:rFonts w:asciiTheme="majorBidi" w:hAnsiTheme="majorBidi" w:cstheme="majorBidi"/>
                  <w:bCs/>
                  <w:lang w:val="es-ES"/>
                </w:rPr>
                <w:t>CR/471</w:t>
              </w:r>
            </w:hyperlink>
            <w:r w:rsidRPr="00D2027A">
              <w:rPr>
                <w:rFonts w:asciiTheme="majorBidi" w:hAnsiTheme="majorBidi" w:cstheme="majorBidi"/>
                <w:bCs/>
                <w:lang w:val="es-ES"/>
              </w:rPr>
              <w:t>).</w:t>
            </w:r>
          </w:p>
        </w:tc>
      </w:tr>
      <w:tr w:rsidR="00967792" w:rsidRPr="00D2027A" w14:paraId="2AAB9EFE" w14:textId="77777777" w:rsidTr="00924C8B">
        <w:trPr>
          <w:jc w:val="center"/>
        </w:trPr>
        <w:tc>
          <w:tcPr>
            <w:tcW w:w="183" w:type="pct"/>
          </w:tcPr>
          <w:p w14:paraId="0D422728" w14:textId="4552F760" w:rsidR="00967792" w:rsidRPr="00A616CA" w:rsidRDefault="00967792" w:rsidP="00B53355">
            <w:pPr>
              <w:pStyle w:val="Tabletext"/>
              <w:rPr>
                <w:lang w:val="es-ES"/>
              </w:rPr>
            </w:pPr>
            <w:r w:rsidRPr="003766E4">
              <w:rPr>
                <w:lang w:val="es-ES"/>
              </w:rPr>
              <w:t>77</w:t>
            </w:r>
          </w:p>
        </w:tc>
        <w:tc>
          <w:tcPr>
            <w:tcW w:w="434" w:type="pct"/>
          </w:tcPr>
          <w:p w14:paraId="3DE4E0E7" w14:textId="7AD1BE05" w:rsidR="00967792" w:rsidRPr="00A616CA" w:rsidRDefault="00967792" w:rsidP="00B53355">
            <w:pPr>
              <w:pStyle w:val="Tabletext"/>
              <w:rPr>
                <w:lang w:val="es-ES"/>
              </w:rPr>
            </w:pPr>
            <w:r w:rsidRPr="00A616CA">
              <w:rPr>
                <w:lang w:val="es-ES"/>
              </w:rPr>
              <w:t>CMR-19</w:t>
            </w:r>
          </w:p>
        </w:tc>
        <w:tc>
          <w:tcPr>
            <w:tcW w:w="523" w:type="pct"/>
          </w:tcPr>
          <w:p w14:paraId="667912A8" w14:textId="3050C409" w:rsidR="00967792" w:rsidRPr="00D2027A" w:rsidRDefault="00967792" w:rsidP="00A864C4">
            <w:pPr>
              <w:pStyle w:val="Tabletext"/>
              <w:rPr>
                <w:rFonts w:asciiTheme="majorBidi" w:hAnsiTheme="majorBidi" w:cstheme="majorBidi"/>
                <w:bCs/>
                <w:szCs w:val="24"/>
                <w:lang w:val="es-ES"/>
              </w:rPr>
            </w:pPr>
            <w:r w:rsidRPr="00A864C4">
              <w:rPr>
                <w:lang w:val="es-ES"/>
              </w:rPr>
              <w:t>10ª</w:t>
            </w:r>
            <w:r w:rsidRPr="00D2027A">
              <w:rPr>
                <w:rFonts w:asciiTheme="majorBidi" w:hAnsiTheme="majorBidi" w:cstheme="majorBidi"/>
                <w:bCs/>
                <w:szCs w:val="24"/>
                <w:lang w:val="es-ES"/>
              </w:rPr>
              <w:t xml:space="preserve"> Plenaria</w:t>
            </w:r>
            <w:r w:rsidR="0025704A">
              <w:rPr>
                <w:rFonts w:asciiTheme="majorBidi" w:hAnsiTheme="majorBidi" w:cstheme="majorBidi"/>
                <w:bCs/>
                <w:szCs w:val="24"/>
                <w:lang w:val="es-ES"/>
              </w:rPr>
              <w:br/>
            </w:r>
            <w:r w:rsidRPr="00D2027A">
              <w:rPr>
                <w:rFonts w:asciiTheme="majorBidi" w:hAnsiTheme="majorBidi" w:cstheme="majorBidi"/>
                <w:bCs/>
                <w:szCs w:val="24"/>
                <w:lang w:val="es-ES"/>
              </w:rPr>
              <w:t xml:space="preserve">Doc. </w:t>
            </w:r>
            <w:hyperlink r:id="rId244" w:history="1">
              <w:r w:rsidRPr="00D2027A">
                <w:rPr>
                  <w:rStyle w:val="Hyperlink"/>
                  <w:rFonts w:asciiTheme="majorBidi" w:hAnsiTheme="majorBidi" w:cstheme="majorBidi"/>
                  <w:bCs/>
                  <w:szCs w:val="24"/>
                  <w:lang w:val="es-ES"/>
                </w:rPr>
                <w:t>CMR19/571</w:t>
              </w:r>
            </w:hyperlink>
          </w:p>
          <w:p w14:paraId="1094E0AD" w14:textId="170D4264" w:rsidR="00967792" w:rsidRPr="00D2027A" w:rsidRDefault="00967792" w:rsidP="00A864C4">
            <w:pPr>
              <w:pStyle w:val="Tabletext"/>
              <w:rPr>
                <w:rFonts w:asciiTheme="majorBidi" w:hAnsiTheme="majorBidi" w:cstheme="majorBidi"/>
                <w:bCs/>
                <w:szCs w:val="24"/>
                <w:lang w:val="es-ES"/>
              </w:rPr>
            </w:pPr>
            <w:r w:rsidRPr="00A864C4">
              <w:rPr>
                <w:lang w:val="es-ES"/>
              </w:rPr>
              <w:t>Aprobación</w:t>
            </w:r>
            <w:r>
              <w:rPr>
                <w:rFonts w:asciiTheme="majorBidi" w:hAnsiTheme="majorBidi" w:cstheme="majorBidi"/>
                <w:bCs/>
                <w:szCs w:val="24"/>
                <w:lang w:val="es-ES"/>
              </w:rPr>
              <w:t xml:space="preserve"> del Documento</w:t>
            </w:r>
            <w:r w:rsidRPr="00D2027A">
              <w:rPr>
                <w:rFonts w:asciiTheme="majorBidi" w:hAnsiTheme="majorBidi" w:cstheme="majorBidi"/>
                <w:bCs/>
                <w:szCs w:val="24"/>
                <w:lang w:val="es-ES"/>
              </w:rPr>
              <w:t xml:space="preserve"> </w:t>
            </w:r>
            <w:hyperlink r:id="rId245" w:history="1">
              <w:r w:rsidRPr="00D2027A">
                <w:rPr>
                  <w:rStyle w:val="Hyperlink"/>
                  <w:rFonts w:asciiTheme="majorBidi" w:hAnsiTheme="majorBidi" w:cstheme="majorBidi"/>
                  <w:bCs/>
                  <w:szCs w:val="24"/>
                  <w:lang w:val="es-ES"/>
                </w:rPr>
                <w:t>CMR19/518</w:t>
              </w:r>
            </w:hyperlink>
          </w:p>
        </w:tc>
        <w:tc>
          <w:tcPr>
            <w:tcW w:w="2312" w:type="pct"/>
          </w:tcPr>
          <w:p w14:paraId="1626B10A" w14:textId="77777777" w:rsidR="00967792" w:rsidRPr="00A61288" w:rsidRDefault="00967792" w:rsidP="00B53355">
            <w:pPr>
              <w:spacing w:before="40" w:after="40"/>
              <w:rPr>
                <w:sz w:val="22"/>
                <w:lang w:val="es-ES"/>
              </w:rPr>
            </w:pPr>
            <w:r w:rsidRPr="00A61288">
              <w:rPr>
                <w:sz w:val="22"/>
                <w:lang w:val="es-ES"/>
              </w:rPr>
              <w:t>2.4</w:t>
            </w:r>
            <w:r w:rsidRPr="00A61288">
              <w:rPr>
                <w:sz w:val="22"/>
                <w:lang w:val="es-ES"/>
              </w:rPr>
              <w:tab/>
            </w:r>
            <w:bookmarkStart w:id="99" w:name="lt_pId139"/>
            <w:r w:rsidRPr="00A61288">
              <w:rPr>
                <w:sz w:val="22"/>
                <w:lang w:val="es-ES"/>
              </w:rPr>
              <w:t xml:space="preserve">El </w:t>
            </w:r>
            <w:r w:rsidRPr="00A61288">
              <w:rPr>
                <w:b/>
                <w:bCs/>
                <w:sz w:val="22"/>
                <w:lang w:val="es-ES"/>
              </w:rPr>
              <w:t>Presidente de la Comisión 5</w:t>
            </w:r>
            <w:r w:rsidRPr="00A61288">
              <w:rPr>
                <w:sz w:val="22"/>
                <w:lang w:val="es-ES"/>
              </w:rPr>
              <w:t xml:space="preserve"> presenta el Documento 518, que contiene el decimocuarto Informe de la Comisión 5 a la Plenaria, relativo al examen por la CMR-19 de las solicitudes de las administraciones notificantes sobre el tratamiento reglamentario de redes de satélite específicas. Se propone que se incluya el siguiente texto en las actas de la Sesión Plenaria a modo de decisión de la Conferencia:</w:t>
            </w:r>
            <w:bookmarkEnd w:id="99"/>
          </w:p>
          <w:p w14:paraId="65628846" w14:textId="77777777" w:rsidR="00967792" w:rsidRPr="00A61288" w:rsidRDefault="00967792" w:rsidP="00B53355">
            <w:pPr>
              <w:spacing w:before="40" w:after="40"/>
              <w:rPr>
                <w:sz w:val="22"/>
                <w:lang w:val="es-ES"/>
              </w:rPr>
            </w:pPr>
            <w:r w:rsidRPr="00A61288">
              <w:rPr>
                <w:sz w:val="22"/>
                <w:lang w:val="es-ES"/>
              </w:rPr>
              <w:t>«La CMR-19 ha recibido varios documentos con solicitudes de administraciones notificantes en relación con el tratamiento reglamentario aplicable a determinadas redes de satélites. A continuación se muestra el resultado de la consideración de esas solicitudes por la CMR-19.</w:t>
            </w:r>
          </w:p>
          <w:p w14:paraId="1012D5C0" w14:textId="77777777" w:rsidR="00967792" w:rsidRPr="00A61288" w:rsidRDefault="00967792" w:rsidP="00B53355">
            <w:pPr>
              <w:spacing w:before="40" w:after="40"/>
              <w:rPr>
                <w:b/>
                <w:sz w:val="22"/>
                <w:lang w:val="es-ES"/>
              </w:rPr>
            </w:pPr>
            <w:r w:rsidRPr="00A61288">
              <w:rPr>
                <w:b/>
                <w:sz w:val="22"/>
                <w:lang w:val="es-ES"/>
              </w:rPr>
              <w:t>Solicitudes de decisión de la CMR sobre determinadas notificaciones de redes de satélites</w:t>
            </w:r>
          </w:p>
          <w:p w14:paraId="3D9EE4F1" w14:textId="77777777" w:rsidR="00967792" w:rsidRPr="00A61288" w:rsidRDefault="00967792" w:rsidP="00B53355">
            <w:pPr>
              <w:spacing w:before="40" w:after="40"/>
              <w:rPr>
                <w:i/>
                <w:sz w:val="22"/>
                <w:lang w:val="es-ES"/>
              </w:rPr>
            </w:pPr>
            <w:r w:rsidRPr="00A61288">
              <w:rPr>
                <w:i/>
                <w:sz w:val="22"/>
                <w:lang w:val="es-ES"/>
              </w:rPr>
              <w:lastRenderedPageBreak/>
              <w:t>Solicitud relativa a las redes de satélites ASIASAT-AK, ASIASAT-AK1 y ASIASAT-AKX</w:t>
            </w:r>
          </w:p>
          <w:p w14:paraId="13C1C240" w14:textId="77777777" w:rsidR="00967792" w:rsidRPr="00A61288" w:rsidRDefault="00967792" w:rsidP="003766E4">
            <w:pPr>
              <w:spacing w:before="40" w:after="80"/>
              <w:rPr>
                <w:sz w:val="22"/>
                <w:lang w:val="es-ES"/>
              </w:rPr>
            </w:pPr>
            <w:r w:rsidRPr="00A61288">
              <w:rPr>
                <w:sz w:val="22"/>
                <w:lang w:val="es-ES"/>
              </w:rPr>
              <w:t>La CMR-19 consideró la solicitud específica formulada por China en el Documento 28(Add.22) en relación con la validez de ciertas asignaciones en banda C y banda Ku a las redes de satélites ASIASAT</w:t>
            </w:r>
            <w:r w:rsidRPr="00A61288">
              <w:rPr>
                <w:sz w:val="22"/>
                <w:lang w:val="es-ES"/>
              </w:rPr>
              <w:noBreakHyphen/>
              <w:t>AK, ASIASAT-AK1 y ASIASAT-AKX de China. Tras considerar el contenido del Documento 28(Add.22) y las cuestiones concretas que en él se plantean, la CMR-19 decidió acceder a la solicitud formulada en el Documento 28(Add.22) y en consecuencia encargó a la Oficina de Radiocomunicaciones que mantenga en el Registro Internacional de Frecuencias las asignaciones de frecuencias a las redes de satélites ASIASAT-AK, ASIASAT-AK1 y ASIASAT</w:t>
            </w:r>
            <w:r w:rsidRPr="00A61288">
              <w:rPr>
                <w:sz w:val="22"/>
                <w:lang w:val="es-ES"/>
              </w:rPr>
              <w:noBreakHyphen/>
              <w:t>AKX que se enumeran en el cuadro siguiente.</w:t>
            </w:r>
          </w:p>
          <w:tbl>
            <w:tblPr>
              <w:tblW w:w="64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922"/>
              <w:gridCol w:w="1006"/>
              <w:gridCol w:w="1691"/>
              <w:gridCol w:w="1853"/>
            </w:tblGrid>
            <w:tr w:rsidR="00967792" w:rsidRPr="00A61288" w14:paraId="4211922B" w14:textId="77777777" w:rsidTr="003766E4">
              <w:trPr>
                <w:trHeight w:val="300"/>
                <w:tblHeader/>
                <w:jc w:val="center"/>
              </w:trPr>
              <w:tc>
                <w:tcPr>
                  <w:tcW w:w="1922" w:type="dxa"/>
                  <w:shd w:val="clear" w:color="auto" w:fill="D9D9D9"/>
                  <w:noWrap/>
                  <w:vAlign w:val="center"/>
                  <w:hideMark/>
                </w:tcPr>
                <w:p w14:paraId="12339BBB" w14:textId="77777777" w:rsidR="00967792" w:rsidRPr="003766E4" w:rsidRDefault="00967792" w:rsidP="003766E4">
                  <w:pPr>
                    <w:spacing w:before="40" w:after="40"/>
                    <w:jc w:val="center"/>
                    <w:rPr>
                      <w:rFonts w:eastAsiaTheme="minorEastAsia" w:cstheme="minorBidi"/>
                      <w:b/>
                      <w:sz w:val="20"/>
                      <w:lang w:val="es-ES"/>
                    </w:rPr>
                  </w:pPr>
                  <w:r w:rsidRPr="003766E4">
                    <w:rPr>
                      <w:rFonts w:eastAsiaTheme="minorEastAsia" w:cstheme="minorBidi"/>
                      <w:b/>
                      <w:sz w:val="20"/>
                      <w:lang w:val="es-ES"/>
                    </w:rPr>
                    <w:t>Red de satélites</w:t>
                  </w:r>
                </w:p>
              </w:tc>
              <w:tc>
                <w:tcPr>
                  <w:tcW w:w="1006" w:type="dxa"/>
                  <w:shd w:val="clear" w:color="auto" w:fill="D9D9D9"/>
                  <w:noWrap/>
                  <w:vAlign w:val="center"/>
                  <w:hideMark/>
                </w:tcPr>
                <w:p w14:paraId="60EA1BD0" w14:textId="77777777" w:rsidR="00967792" w:rsidRPr="003766E4" w:rsidRDefault="00967792" w:rsidP="003766E4">
                  <w:pPr>
                    <w:spacing w:before="40" w:after="40"/>
                    <w:jc w:val="center"/>
                    <w:rPr>
                      <w:rFonts w:eastAsiaTheme="minorEastAsia" w:cstheme="minorBidi"/>
                      <w:b/>
                      <w:sz w:val="20"/>
                      <w:lang w:val="es-ES"/>
                    </w:rPr>
                  </w:pPr>
                  <w:r w:rsidRPr="003766E4">
                    <w:rPr>
                      <w:rFonts w:eastAsiaTheme="minorEastAsia" w:cstheme="minorBidi"/>
                      <w:b/>
                      <w:sz w:val="20"/>
                      <w:lang w:val="es-ES"/>
                    </w:rPr>
                    <w:t>Longitud</w:t>
                  </w:r>
                </w:p>
              </w:tc>
              <w:tc>
                <w:tcPr>
                  <w:tcW w:w="1691" w:type="dxa"/>
                  <w:shd w:val="clear" w:color="auto" w:fill="D9D9D9"/>
                  <w:noWrap/>
                  <w:vAlign w:val="center"/>
                  <w:hideMark/>
                </w:tcPr>
                <w:p w14:paraId="1039F453" w14:textId="77777777" w:rsidR="00967792" w:rsidRPr="003766E4" w:rsidRDefault="00967792" w:rsidP="003766E4">
                  <w:pPr>
                    <w:spacing w:before="40" w:after="40"/>
                    <w:jc w:val="center"/>
                    <w:rPr>
                      <w:rFonts w:eastAsiaTheme="minorEastAsia" w:cstheme="minorBidi"/>
                      <w:b/>
                      <w:sz w:val="20"/>
                      <w:lang w:val="es-ES"/>
                    </w:rPr>
                  </w:pPr>
                  <w:r w:rsidRPr="003766E4">
                    <w:rPr>
                      <w:rFonts w:eastAsiaTheme="minorEastAsia" w:cstheme="minorBidi"/>
                      <w:b/>
                      <w:sz w:val="20"/>
                      <w:lang w:val="es-ES"/>
                    </w:rPr>
                    <w:t>Frecuencia mínima (MHz)</w:t>
                  </w:r>
                </w:p>
              </w:tc>
              <w:tc>
                <w:tcPr>
                  <w:tcW w:w="1853" w:type="dxa"/>
                  <w:shd w:val="clear" w:color="auto" w:fill="D9D9D9"/>
                  <w:noWrap/>
                  <w:vAlign w:val="center"/>
                  <w:hideMark/>
                </w:tcPr>
                <w:p w14:paraId="1A5ECE00" w14:textId="77777777" w:rsidR="00967792" w:rsidRPr="003766E4" w:rsidRDefault="00967792" w:rsidP="003766E4">
                  <w:pPr>
                    <w:spacing w:before="40" w:after="40"/>
                    <w:jc w:val="center"/>
                    <w:rPr>
                      <w:rFonts w:eastAsiaTheme="minorEastAsia" w:cstheme="minorBidi"/>
                      <w:b/>
                      <w:sz w:val="20"/>
                      <w:lang w:val="es-ES"/>
                    </w:rPr>
                  </w:pPr>
                  <w:r w:rsidRPr="003766E4">
                    <w:rPr>
                      <w:rFonts w:eastAsiaTheme="minorEastAsia" w:cstheme="minorBidi"/>
                      <w:b/>
                      <w:sz w:val="20"/>
                      <w:lang w:val="es-ES"/>
                    </w:rPr>
                    <w:t>Frecuencia máxima (MHz)</w:t>
                  </w:r>
                </w:p>
              </w:tc>
            </w:tr>
            <w:tr w:rsidR="00967792" w:rsidRPr="00A61288" w14:paraId="21D02419" w14:textId="77777777" w:rsidTr="003766E4">
              <w:trPr>
                <w:trHeight w:val="300"/>
                <w:jc w:val="center"/>
              </w:trPr>
              <w:tc>
                <w:tcPr>
                  <w:tcW w:w="1922" w:type="dxa"/>
                  <w:noWrap/>
                  <w:vAlign w:val="center"/>
                  <w:hideMark/>
                </w:tcPr>
                <w:p w14:paraId="37214FFE" w14:textId="77777777" w:rsidR="00967792" w:rsidRPr="003766E4" w:rsidRDefault="00967792" w:rsidP="003766E4">
                  <w:pPr>
                    <w:spacing w:before="20" w:after="20"/>
                    <w:rPr>
                      <w:rFonts w:eastAsiaTheme="minorEastAsia" w:cstheme="minorBidi"/>
                      <w:sz w:val="20"/>
                      <w:lang w:val="es-ES"/>
                    </w:rPr>
                  </w:pPr>
                  <w:r w:rsidRPr="003766E4">
                    <w:rPr>
                      <w:rFonts w:eastAsiaTheme="minorEastAsia" w:cstheme="minorBidi"/>
                      <w:sz w:val="20"/>
                      <w:lang w:val="es-ES"/>
                    </w:rPr>
                    <w:t>ASIASAT-AK</w:t>
                  </w:r>
                </w:p>
              </w:tc>
              <w:tc>
                <w:tcPr>
                  <w:tcW w:w="1006" w:type="dxa"/>
                  <w:noWrap/>
                  <w:hideMark/>
                </w:tcPr>
                <w:p w14:paraId="14068AFC" w14:textId="77777777" w:rsidR="00967792" w:rsidRPr="003766E4" w:rsidRDefault="00967792" w:rsidP="003766E4">
                  <w:pPr>
                    <w:spacing w:before="20" w:after="20"/>
                    <w:rPr>
                      <w:rFonts w:eastAsiaTheme="minorEastAsia" w:cstheme="minorBidi"/>
                      <w:sz w:val="20"/>
                      <w:lang w:val="es-ES"/>
                    </w:rPr>
                  </w:pPr>
                  <w:r w:rsidRPr="003766E4">
                    <w:rPr>
                      <w:rFonts w:eastAsiaTheme="minorEastAsia" w:cstheme="minorBidi"/>
                      <w:sz w:val="20"/>
                      <w:lang w:val="es-ES"/>
                    </w:rPr>
                    <w:t>122° E</w:t>
                  </w:r>
                </w:p>
              </w:tc>
              <w:tc>
                <w:tcPr>
                  <w:tcW w:w="1691" w:type="dxa"/>
                  <w:noWrap/>
                  <w:vAlign w:val="center"/>
                  <w:hideMark/>
                </w:tcPr>
                <w:p w14:paraId="5A0E9281" w14:textId="77777777" w:rsidR="00967792" w:rsidRPr="003766E4" w:rsidRDefault="00967792" w:rsidP="003766E4">
                  <w:pPr>
                    <w:spacing w:before="20" w:after="20"/>
                    <w:rPr>
                      <w:rFonts w:eastAsiaTheme="minorEastAsia" w:cstheme="minorBidi"/>
                      <w:sz w:val="20"/>
                      <w:lang w:val="es-ES"/>
                    </w:rPr>
                  </w:pPr>
                  <w:r w:rsidRPr="003766E4">
                    <w:rPr>
                      <w:rFonts w:eastAsiaTheme="minorEastAsia" w:cstheme="minorBidi"/>
                      <w:sz w:val="20"/>
                      <w:lang w:val="es-ES"/>
                    </w:rPr>
                    <w:t>6 425</w:t>
                  </w:r>
                </w:p>
              </w:tc>
              <w:tc>
                <w:tcPr>
                  <w:tcW w:w="1853" w:type="dxa"/>
                  <w:noWrap/>
                  <w:vAlign w:val="center"/>
                  <w:hideMark/>
                </w:tcPr>
                <w:p w14:paraId="7C173819" w14:textId="77777777" w:rsidR="00967792" w:rsidRPr="003766E4" w:rsidRDefault="00967792" w:rsidP="003766E4">
                  <w:pPr>
                    <w:spacing w:before="20" w:after="20"/>
                    <w:rPr>
                      <w:rFonts w:eastAsiaTheme="minorEastAsia" w:cstheme="minorBidi"/>
                      <w:sz w:val="20"/>
                      <w:lang w:val="es-ES"/>
                    </w:rPr>
                  </w:pPr>
                  <w:r w:rsidRPr="003766E4">
                    <w:rPr>
                      <w:rFonts w:eastAsiaTheme="minorEastAsia" w:cstheme="minorBidi"/>
                      <w:sz w:val="20"/>
                      <w:lang w:val="es-ES"/>
                    </w:rPr>
                    <w:t>6 723</w:t>
                  </w:r>
                </w:p>
              </w:tc>
            </w:tr>
            <w:tr w:rsidR="00967792" w:rsidRPr="00A61288" w14:paraId="424C5F32" w14:textId="77777777" w:rsidTr="003766E4">
              <w:trPr>
                <w:trHeight w:val="300"/>
                <w:jc w:val="center"/>
              </w:trPr>
              <w:tc>
                <w:tcPr>
                  <w:tcW w:w="1922" w:type="dxa"/>
                  <w:noWrap/>
                  <w:vAlign w:val="center"/>
                  <w:hideMark/>
                </w:tcPr>
                <w:p w14:paraId="4905A73A" w14:textId="77777777" w:rsidR="00967792" w:rsidRPr="003766E4" w:rsidRDefault="00967792" w:rsidP="003766E4">
                  <w:pPr>
                    <w:spacing w:before="20" w:after="20"/>
                    <w:rPr>
                      <w:rFonts w:eastAsiaTheme="minorEastAsia" w:cstheme="minorBidi"/>
                      <w:sz w:val="20"/>
                      <w:lang w:val="es-ES"/>
                    </w:rPr>
                  </w:pPr>
                  <w:r w:rsidRPr="003766E4">
                    <w:rPr>
                      <w:rFonts w:eastAsiaTheme="minorEastAsia" w:cstheme="minorBidi"/>
                      <w:sz w:val="20"/>
                      <w:lang w:val="es-ES"/>
                    </w:rPr>
                    <w:t>ASIASAT-AK</w:t>
                  </w:r>
                </w:p>
              </w:tc>
              <w:tc>
                <w:tcPr>
                  <w:tcW w:w="1006" w:type="dxa"/>
                  <w:noWrap/>
                  <w:hideMark/>
                </w:tcPr>
                <w:p w14:paraId="78ED353B" w14:textId="77777777" w:rsidR="00967792" w:rsidRPr="003766E4" w:rsidRDefault="00967792" w:rsidP="003766E4">
                  <w:pPr>
                    <w:spacing w:before="20" w:after="20"/>
                    <w:rPr>
                      <w:rFonts w:eastAsiaTheme="minorEastAsia" w:cstheme="minorBidi"/>
                      <w:sz w:val="20"/>
                      <w:lang w:val="es-ES"/>
                    </w:rPr>
                  </w:pPr>
                  <w:r w:rsidRPr="003766E4">
                    <w:rPr>
                      <w:rFonts w:eastAsiaTheme="minorEastAsia" w:cstheme="minorBidi"/>
                      <w:sz w:val="20"/>
                      <w:lang w:val="es-ES"/>
                    </w:rPr>
                    <w:t>122° E</w:t>
                  </w:r>
                </w:p>
              </w:tc>
              <w:tc>
                <w:tcPr>
                  <w:tcW w:w="1691" w:type="dxa"/>
                  <w:noWrap/>
                  <w:vAlign w:val="center"/>
                  <w:hideMark/>
                </w:tcPr>
                <w:p w14:paraId="3F201E7B" w14:textId="77777777" w:rsidR="00967792" w:rsidRPr="003766E4" w:rsidRDefault="00967792" w:rsidP="003766E4">
                  <w:pPr>
                    <w:spacing w:before="20" w:after="20"/>
                    <w:rPr>
                      <w:rFonts w:eastAsiaTheme="minorEastAsia" w:cstheme="minorBidi"/>
                      <w:sz w:val="20"/>
                      <w:lang w:val="es-ES"/>
                    </w:rPr>
                  </w:pPr>
                  <w:r w:rsidRPr="003766E4">
                    <w:rPr>
                      <w:rFonts w:eastAsiaTheme="minorEastAsia" w:cstheme="minorBidi"/>
                      <w:sz w:val="20"/>
                      <w:lang w:val="es-ES"/>
                    </w:rPr>
                    <w:t>10 950</w:t>
                  </w:r>
                </w:p>
              </w:tc>
              <w:tc>
                <w:tcPr>
                  <w:tcW w:w="1853" w:type="dxa"/>
                  <w:noWrap/>
                  <w:vAlign w:val="center"/>
                  <w:hideMark/>
                </w:tcPr>
                <w:p w14:paraId="4E3E2CE0" w14:textId="77777777" w:rsidR="00967792" w:rsidRPr="003766E4" w:rsidRDefault="00967792" w:rsidP="003766E4">
                  <w:pPr>
                    <w:spacing w:before="20" w:after="20"/>
                    <w:rPr>
                      <w:rFonts w:eastAsiaTheme="minorEastAsia" w:cstheme="minorBidi"/>
                      <w:sz w:val="20"/>
                      <w:lang w:val="es-ES"/>
                    </w:rPr>
                  </w:pPr>
                  <w:r w:rsidRPr="003766E4">
                    <w:rPr>
                      <w:rFonts w:eastAsiaTheme="minorEastAsia" w:cstheme="minorBidi"/>
                      <w:sz w:val="20"/>
                      <w:lang w:val="es-ES"/>
                    </w:rPr>
                    <w:t>11 197</w:t>
                  </w:r>
                </w:p>
              </w:tc>
            </w:tr>
            <w:tr w:rsidR="00967792" w:rsidRPr="00A61288" w14:paraId="3587EFEF" w14:textId="77777777" w:rsidTr="003766E4">
              <w:trPr>
                <w:trHeight w:val="300"/>
                <w:jc w:val="center"/>
              </w:trPr>
              <w:tc>
                <w:tcPr>
                  <w:tcW w:w="1922" w:type="dxa"/>
                  <w:noWrap/>
                  <w:vAlign w:val="center"/>
                  <w:hideMark/>
                </w:tcPr>
                <w:p w14:paraId="06ECE87E" w14:textId="77777777" w:rsidR="00967792" w:rsidRPr="003766E4" w:rsidRDefault="00967792" w:rsidP="003766E4">
                  <w:pPr>
                    <w:spacing w:before="20" w:after="20"/>
                    <w:rPr>
                      <w:rFonts w:eastAsiaTheme="minorEastAsia" w:cstheme="minorBidi"/>
                      <w:sz w:val="20"/>
                      <w:lang w:val="es-ES"/>
                    </w:rPr>
                  </w:pPr>
                  <w:r w:rsidRPr="003766E4">
                    <w:rPr>
                      <w:rFonts w:eastAsiaTheme="minorEastAsia" w:cstheme="minorBidi"/>
                      <w:sz w:val="20"/>
                      <w:lang w:val="es-ES"/>
                    </w:rPr>
                    <w:t>ASIASAT-AK</w:t>
                  </w:r>
                </w:p>
              </w:tc>
              <w:tc>
                <w:tcPr>
                  <w:tcW w:w="1006" w:type="dxa"/>
                  <w:noWrap/>
                  <w:hideMark/>
                </w:tcPr>
                <w:p w14:paraId="499FEFC2" w14:textId="77777777" w:rsidR="00967792" w:rsidRPr="003766E4" w:rsidRDefault="00967792" w:rsidP="003766E4">
                  <w:pPr>
                    <w:spacing w:before="20" w:after="20"/>
                    <w:rPr>
                      <w:rFonts w:eastAsiaTheme="minorEastAsia" w:cstheme="minorBidi"/>
                      <w:sz w:val="20"/>
                      <w:lang w:val="es-ES"/>
                    </w:rPr>
                  </w:pPr>
                  <w:r w:rsidRPr="003766E4">
                    <w:rPr>
                      <w:rFonts w:eastAsiaTheme="minorEastAsia" w:cstheme="minorBidi"/>
                      <w:sz w:val="20"/>
                      <w:lang w:val="es-ES"/>
                    </w:rPr>
                    <w:t>122° E</w:t>
                  </w:r>
                </w:p>
              </w:tc>
              <w:tc>
                <w:tcPr>
                  <w:tcW w:w="1691" w:type="dxa"/>
                  <w:noWrap/>
                  <w:vAlign w:val="center"/>
                  <w:hideMark/>
                </w:tcPr>
                <w:p w14:paraId="17BDB1FB" w14:textId="77777777" w:rsidR="00967792" w:rsidRPr="003766E4" w:rsidRDefault="00967792" w:rsidP="003766E4">
                  <w:pPr>
                    <w:spacing w:before="20" w:after="20"/>
                    <w:rPr>
                      <w:rFonts w:eastAsiaTheme="minorEastAsia" w:cstheme="minorBidi"/>
                      <w:sz w:val="20"/>
                      <w:lang w:val="es-ES"/>
                    </w:rPr>
                  </w:pPr>
                  <w:r w:rsidRPr="003766E4">
                    <w:rPr>
                      <w:rFonts w:eastAsiaTheme="minorEastAsia" w:cstheme="minorBidi"/>
                      <w:sz w:val="20"/>
                      <w:lang w:val="es-ES"/>
                    </w:rPr>
                    <w:t>11 453</w:t>
                  </w:r>
                </w:p>
              </w:tc>
              <w:tc>
                <w:tcPr>
                  <w:tcW w:w="1853" w:type="dxa"/>
                  <w:noWrap/>
                  <w:vAlign w:val="center"/>
                  <w:hideMark/>
                </w:tcPr>
                <w:p w14:paraId="6361AF1E" w14:textId="77777777" w:rsidR="00967792" w:rsidRPr="003766E4" w:rsidRDefault="00967792" w:rsidP="003766E4">
                  <w:pPr>
                    <w:spacing w:before="20" w:after="20"/>
                    <w:rPr>
                      <w:rFonts w:eastAsiaTheme="minorEastAsia" w:cstheme="minorBidi"/>
                      <w:sz w:val="20"/>
                      <w:lang w:val="es-ES"/>
                    </w:rPr>
                  </w:pPr>
                  <w:r w:rsidRPr="003766E4">
                    <w:rPr>
                      <w:rFonts w:eastAsiaTheme="minorEastAsia" w:cstheme="minorBidi"/>
                      <w:sz w:val="20"/>
                      <w:lang w:val="es-ES"/>
                    </w:rPr>
                    <w:t>11 700</w:t>
                  </w:r>
                </w:p>
              </w:tc>
            </w:tr>
            <w:tr w:rsidR="00967792" w:rsidRPr="00A61288" w14:paraId="4B24A1D0" w14:textId="77777777" w:rsidTr="003766E4">
              <w:trPr>
                <w:trHeight w:val="300"/>
                <w:jc w:val="center"/>
              </w:trPr>
              <w:tc>
                <w:tcPr>
                  <w:tcW w:w="1922" w:type="dxa"/>
                  <w:noWrap/>
                  <w:vAlign w:val="center"/>
                  <w:hideMark/>
                </w:tcPr>
                <w:p w14:paraId="3B0C7C17" w14:textId="77777777" w:rsidR="00967792" w:rsidRPr="003766E4" w:rsidRDefault="00967792" w:rsidP="003766E4">
                  <w:pPr>
                    <w:spacing w:before="20" w:after="20"/>
                    <w:rPr>
                      <w:rFonts w:eastAsiaTheme="minorEastAsia" w:cstheme="minorBidi"/>
                      <w:sz w:val="20"/>
                      <w:lang w:val="es-ES"/>
                    </w:rPr>
                  </w:pPr>
                  <w:r w:rsidRPr="003766E4">
                    <w:rPr>
                      <w:rFonts w:eastAsiaTheme="minorEastAsia" w:cstheme="minorBidi"/>
                      <w:sz w:val="20"/>
                      <w:lang w:val="es-ES"/>
                    </w:rPr>
                    <w:t>ASIASAT-AK1</w:t>
                  </w:r>
                </w:p>
              </w:tc>
              <w:tc>
                <w:tcPr>
                  <w:tcW w:w="1006" w:type="dxa"/>
                  <w:noWrap/>
                  <w:hideMark/>
                </w:tcPr>
                <w:p w14:paraId="69015725" w14:textId="77777777" w:rsidR="00967792" w:rsidRPr="003766E4" w:rsidRDefault="00967792" w:rsidP="003766E4">
                  <w:pPr>
                    <w:spacing w:before="20" w:after="20"/>
                    <w:rPr>
                      <w:rFonts w:eastAsiaTheme="minorEastAsia" w:cstheme="minorBidi"/>
                      <w:sz w:val="20"/>
                      <w:lang w:val="es-ES"/>
                    </w:rPr>
                  </w:pPr>
                  <w:r w:rsidRPr="003766E4">
                    <w:rPr>
                      <w:rFonts w:eastAsiaTheme="minorEastAsia" w:cstheme="minorBidi"/>
                      <w:sz w:val="20"/>
                      <w:lang w:val="es-ES"/>
                    </w:rPr>
                    <w:t>122° E</w:t>
                  </w:r>
                </w:p>
              </w:tc>
              <w:tc>
                <w:tcPr>
                  <w:tcW w:w="1691" w:type="dxa"/>
                  <w:noWrap/>
                  <w:vAlign w:val="center"/>
                  <w:hideMark/>
                </w:tcPr>
                <w:p w14:paraId="737909A5" w14:textId="77777777" w:rsidR="00967792" w:rsidRPr="003766E4" w:rsidRDefault="00967792" w:rsidP="003766E4">
                  <w:pPr>
                    <w:spacing w:before="20" w:after="20"/>
                    <w:rPr>
                      <w:rFonts w:eastAsiaTheme="minorEastAsia" w:cstheme="minorBidi"/>
                      <w:sz w:val="20"/>
                      <w:lang w:val="es-ES"/>
                    </w:rPr>
                  </w:pPr>
                  <w:r w:rsidRPr="003766E4">
                    <w:rPr>
                      <w:rFonts w:eastAsiaTheme="minorEastAsia" w:cstheme="minorBidi"/>
                      <w:sz w:val="20"/>
                      <w:lang w:val="es-ES"/>
                    </w:rPr>
                    <w:t>12 200</w:t>
                  </w:r>
                </w:p>
              </w:tc>
              <w:tc>
                <w:tcPr>
                  <w:tcW w:w="1853" w:type="dxa"/>
                  <w:noWrap/>
                  <w:vAlign w:val="center"/>
                  <w:hideMark/>
                </w:tcPr>
                <w:p w14:paraId="0573EBAB" w14:textId="77777777" w:rsidR="00967792" w:rsidRPr="003766E4" w:rsidRDefault="00967792" w:rsidP="003766E4">
                  <w:pPr>
                    <w:spacing w:before="20" w:after="20"/>
                    <w:rPr>
                      <w:rFonts w:eastAsiaTheme="minorEastAsia" w:cstheme="minorBidi"/>
                      <w:sz w:val="20"/>
                      <w:lang w:val="es-ES"/>
                    </w:rPr>
                  </w:pPr>
                  <w:r w:rsidRPr="003766E4">
                    <w:rPr>
                      <w:rFonts w:eastAsiaTheme="minorEastAsia" w:cstheme="minorBidi"/>
                      <w:sz w:val="20"/>
                      <w:lang w:val="es-ES"/>
                    </w:rPr>
                    <w:t>12 250</w:t>
                  </w:r>
                </w:p>
              </w:tc>
            </w:tr>
            <w:tr w:rsidR="00967792" w:rsidRPr="00A61288" w14:paraId="45011DAE" w14:textId="77777777" w:rsidTr="003766E4">
              <w:trPr>
                <w:trHeight w:val="300"/>
                <w:jc w:val="center"/>
              </w:trPr>
              <w:tc>
                <w:tcPr>
                  <w:tcW w:w="1922" w:type="dxa"/>
                  <w:noWrap/>
                  <w:vAlign w:val="center"/>
                  <w:hideMark/>
                </w:tcPr>
                <w:p w14:paraId="57608639" w14:textId="77777777" w:rsidR="00967792" w:rsidRPr="003766E4" w:rsidRDefault="00967792" w:rsidP="003766E4">
                  <w:pPr>
                    <w:spacing w:before="20" w:after="20"/>
                    <w:rPr>
                      <w:rFonts w:eastAsiaTheme="minorEastAsia" w:cstheme="minorBidi"/>
                      <w:sz w:val="20"/>
                      <w:lang w:val="es-ES"/>
                    </w:rPr>
                  </w:pPr>
                  <w:r w:rsidRPr="003766E4">
                    <w:rPr>
                      <w:rFonts w:eastAsiaTheme="minorEastAsia" w:cstheme="minorBidi"/>
                      <w:sz w:val="20"/>
                      <w:lang w:val="es-ES"/>
                    </w:rPr>
                    <w:t>ASIASAT-AKX</w:t>
                  </w:r>
                </w:p>
              </w:tc>
              <w:tc>
                <w:tcPr>
                  <w:tcW w:w="1006" w:type="dxa"/>
                  <w:noWrap/>
                  <w:hideMark/>
                </w:tcPr>
                <w:p w14:paraId="2D0A147F" w14:textId="77777777" w:rsidR="00967792" w:rsidRPr="003766E4" w:rsidRDefault="00967792" w:rsidP="003766E4">
                  <w:pPr>
                    <w:spacing w:before="20" w:after="20"/>
                    <w:rPr>
                      <w:rFonts w:eastAsiaTheme="minorEastAsia" w:cstheme="minorBidi"/>
                      <w:sz w:val="20"/>
                      <w:lang w:val="es-ES"/>
                    </w:rPr>
                  </w:pPr>
                  <w:r w:rsidRPr="003766E4">
                    <w:rPr>
                      <w:rFonts w:eastAsiaTheme="minorEastAsia" w:cstheme="minorBidi"/>
                      <w:sz w:val="20"/>
                      <w:lang w:val="es-ES"/>
                    </w:rPr>
                    <w:t>122° E</w:t>
                  </w:r>
                </w:p>
              </w:tc>
              <w:tc>
                <w:tcPr>
                  <w:tcW w:w="1691" w:type="dxa"/>
                  <w:noWrap/>
                  <w:vAlign w:val="center"/>
                  <w:hideMark/>
                </w:tcPr>
                <w:p w14:paraId="76C1132A" w14:textId="77777777" w:rsidR="00967792" w:rsidRPr="003766E4" w:rsidRDefault="00967792" w:rsidP="003766E4">
                  <w:pPr>
                    <w:spacing w:before="20" w:after="20"/>
                    <w:rPr>
                      <w:rFonts w:eastAsiaTheme="minorEastAsia" w:cstheme="minorBidi"/>
                      <w:sz w:val="20"/>
                      <w:lang w:val="es-ES"/>
                    </w:rPr>
                  </w:pPr>
                  <w:r w:rsidRPr="003766E4">
                    <w:rPr>
                      <w:rFonts w:eastAsiaTheme="minorEastAsia" w:cstheme="minorBidi"/>
                      <w:sz w:val="20"/>
                      <w:lang w:val="es-ES"/>
                    </w:rPr>
                    <w:t>6 425</w:t>
                  </w:r>
                </w:p>
              </w:tc>
              <w:tc>
                <w:tcPr>
                  <w:tcW w:w="1853" w:type="dxa"/>
                  <w:noWrap/>
                  <w:vAlign w:val="center"/>
                  <w:hideMark/>
                </w:tcPr>
                <w:p w14:paraId="680939F3" w14:textId="77777777" w:rsidR="00967792" w:rsidRPr="003766E4" w:rsidRDefault="00967792" w:rsidP="003766E4">
                  <w:pPr>
                    <w:spacing w:before="20" w:after="20"/>
                    <w:rPr>
                      <w:rFonts w:eastAsiaTheme="minorEastAsia" w:cstheme="minorBidi"/>
                      <w:sz w:val="20"/>
                      <w:lang w:val="es-ES"/>
                    </w:rPr>
                  </w:pPr>
                  <w:r w:rsidRPr="003766E4">
                    <w:rPr>
                      <w:rFonts w:eastAsiaTheme="minorEastAsia" w:cstheme="minorBidi"/>
                      <w:sz w:val="20"/>
                      <w:lang w:val="es-ES"/>
                    </w:rPr>
                    <w:t>6 725</w:t>
                  </w:r>
                </w:p>
              </w:tc>
            </w:tr>
            <w:tr w:rsidR="00967792" w:rsidRPr="00A61288" w14:paraId="69882832" w14:textId="77777777" w:rsidTr="003766E4">
              <w:trPr>
                <w:trHeight w:val="300"/>
                <w:jc w:val="center"/>
              </w:trPr>
              <w:tc>
                <w:tcPr>
                  <w:tcW w:w="1922" w:type="dxa"/>
                  <w:noWrap/>
                  <w:vAlign w:val="center"/>
                  <w:hideMark/>
                </w:tcPr>
                <w:p w14:paraId="56DC8675" w14:textId="77777777" w:rsidR="00967792" w:rsidRPr="003766E4" w:rsidRDefault="00967792" w:rsidP="003766E4">
                  <w:pPr>
                    <w:spacing w:before="20" w:after="20"/>
                    <w:rPr>
                      <w:rFonts w:eastAsiaTheme="minorEastAsia" w:cstheme="minorBidi"/>
                      <w:sz w:val="20"/>
                      <w:lang w:val="es-ES"/>
                    </w:rPr>
                  </w:pPr>
                  <w:r w:rsidRPr="003766E4">
                    <w:rPr>
                      <w:rFonts w:eastAsiaTheme="minorEastAsia" w:cstheme="minorBidi"/>
                      <w:sz w:val="20"/>
                      <w:lang w:val="es-ES"/>
                    </w:rPr>
                    <w:t>ASIASAT-AKX</w:t>
                  </w:r>
                </w:p>
              </w:tc>
              <w:tc>
                <w:tcPr>
                  <w:tcW w:w="1006" w:type="dxa"/>
                  <w:noWrap/>
                  <w:hideMark/>
                </w:tcPr>
                <w:p w14:paraId="651F2612" w14:textId="77777777" w:rsidR="00967792" w:rsidRPr="003766E4" w:rsidRDefault="00967792" w:rsidP="003766E4">
                  <w:pPr>
                    <w:spacing w:before="20" w:after="20"/>
                    <w:rPr>
                      <w:rFonts w:eastAsiaTheme="minorEastAsia" w:cstheme="minorBidi"/>
                      <w:sz w:val="20"/>
                      <w:lang w:val="es-ES"/>
                    </w:rPr>
                  </w:pPr>
                  <w:r w:rsidRPr="003766E4">
                    <w:rPr>
                      <w:rFonts w:eastAsiaTheme="minorEastAsia" w:cstheme="minorBidi"/>
                      <w:sz w:val="20"/>
                      <w:lang w:val="es-ES"/>
                    </w:rPr>
                    <w:t>122° E</w:t>
                  </w:r>
                </w:p>
              </w:tc>
              <w:tc>
                <w:tcPr>
                  <w:tcW w:w="1691" w:type="dxa"/>
                  <w:noWrap/>
                  <w:vAlign w:val="center"/>
                  <w:hideMark/>
                </w:tcPr>
                <w:p w14:paraId="77046C22" w14:textId="77777777" w:rsidR="00967792" w:rsidRPr="003766E4" w:rsidRDefault="00967792" w:rsidP="003766E4">
                  <w:pPr>
                    <w:spacing w:before="20" w:after="20"/>
                    <w:rPr>
                      <w:rFonts w:eastAsiaTheme="minorEastAsia" w:cstheme="minorBidi"/>
                      <w:sz w:val="20"/>
                      <w:lang w:val="es-ES"/>
                    </w:rPr>
                  </w:pPr>
                  <w:r w:rsidRPr="003766E4">
                    <w:rPr>
                      <w:rFonts w:eastAsiaTheme="minorEastAsia" w:cstheme="minorBidi"/>
                      <w:sz w:val="20"/>
                      <w:lang w:val="es-ES"/>
                    </w:rPr>
                    <w:t>10 953</w:t>
                  </w:r>
                </w:p>
              </w:tc>
              <w:tc>
                <w:tcPr>
                  <w:tcW w:w="1853" w:type="dxa"/>
                  <w:noWrap/>
                  <w:vAlign w:val="center"/>
                  <w:hideMark/>
                </w:tcPr>
                <w:p w14:paraId="7FB54E42" w14:textId="77777777" w:rsidR="00967792" w:rsidRPr="003766E4" w:rsidRDefault="00967792" w:rsidP="003766E4">
                  <w:pPr>
                    <w:spacing w:before="20" w:after="20"/>
                    <w:rPr>
                      <w:rFonts w:eastAsiaTheme="minorEastAsia" w:cstheme="minorBidi"/>
                      <w:sz w:val="20"/>
                      <w:lang w:val="es-ES"/>
                    </w:rPr>
                  </w:pPr>
                  <w:r w:rsidRPr="003766E4">
                    <w:rPr>
                      <w:rFonts w:eastAsiaTheme="minorEastAsia" w:cstheme="minorBidi"/>
                      <w:sz w:val="20"/>
                      <w:lang w:val="es-ES"/>
                    </w:rPr>
                    <w:t>11 200</w:t>
                  </w:r>
                </w:p>
              </w:tc>
            </w:tr>
            <w:tr w:rsidR="00967792" w:rsidRPr="00A61288" w14:paraId="7B39B769" w14:textId="77777777" w:rsidTr="003766E4">
              <w:trPr>
                <w:trHeight w:val="300"/>
                <w:jc w:val="center"/>
              </w:trPr>
              <w:tc>
                <w:tcPr>
                  <w:tcW w:w="1922" w:type="dxa"/>
                  <w:noWrap/>
                  <w:vAlign w:val="center"/>
                  <w:hideMark/>
                </w:tcPr>
                <w:p w14:paraId="277AE77F" w14:textId="77777777" w:rsidR="00967792" w:rsidRPr="003766E4" w:rsidRDefault="00967792" w:rsidP="003766E4">
                  <w:pPr>
                    <w:spacing w:before="20" w:after="20"/>
                    <w:rPr>
                      <w:rFonts w:eastAsiaTheme="minorEastAsia" w:cstheme="minorBidi"/>
                      <w:sz w:val="20"/>
                      <w:lang w:val="es-ES"/>
                    </w:rPr>
                  </w:pPr>
                  <w:r w:rsidRPr="003766E4">
                    <w:rPr>
                      <w:rFonts w:eastAsiaTheme="minorEastAsia" w:cstheme="minorBidi"/>
                      <w:sz w:val="20"/>
                      <w:lang w:val="es-ES"/>
                    </w:rPr>
                    <w:t>ASIASAT-AKX</w:t>
                  </w:r>
                </w:p>
              </w:tc>
              <w:tc>
                <w:tcPr>
                  <w:tcW w:w="1006" w:type="dxa"/>
                  <w:noWrap/>
                  <w:hideMark/>
                </w:tcPr>
                <w:p w14:paraId="310FCB1B" w14:textId="77777777" w:rsidR="00967792" w:rsidRPr="003766E4" w:rsidRDefault="00967792" w:rsidP="003766E4">
                  <w:pPr>
                    <w:spacing w:before="20" w:after="20"/>
                    <w:rPr>
                      <w:rFonts w:eastAsiaTheme="minorEastAsia" w:cstheme="minorBidi"/>
                      <w:sz w:val="20"/>
                      <w:lang w:val="es-ES"/>
                    </w:rPr>
                  </w:pPr>
                  <w:r w:rsidRPr="003766E4">
                    <w:rPr>
                      <w:rFonts w:eastAsiaTheme="minorEastAsia" w:cstheme="minorBidi"/>
                      <w:sz w:val="20"/>
                      <w:lang w:val="es-ES"/>
                    </w:rPr>
                    <w:t>122° E</w:t>
                  </w:r>
                </w:p>
              </w:tc>
              <w:tc>
                <w:tcPr>
                  <w:tcW w:w="1691" w:type="dxa"/>
                  <w:noWrap/>
                  <w:vAlign w:val="center"/>
                  <w:hideMark/>
                </w:tcPr>
                <w:p w14:paraId="45EF87BA" w14:textId="77777777" w:rsidR="00967792" w:rsidRPr="003766E4" w:rsidRDefault="00967792" w:rsidP="003766E4">
                  <w:pPr>
                    <w:spacing w:before="20" w:after="20"/>
                    <w:rPr>
                      <w:rFonts w:eastAsiaTheme="minorEastAsia" w:cstheme="minorBidi"/>
                      <w:sz w:val="20"/>
                      <w:lang w:val="es-ES"/>
                    </w:rPr>
                  </w:pPr>
                  <w:r w:rsidRPr="003766E4">
                    <w:rPr>
                      <w:rFonts w:eastAsiaTheme="minorEastAsia" w:cstheme="minorBidi"/>
                      <w:sz w:val="20"/>
                      <w:lang w:val="es-ES"/>
                    </w:rPr>
                    <w:t>11 450</w:t>
                  </w:r>
                </w:p>
              </w:tc>
              <w:tc>
                <w:tcPr>
                  <w:tcW w:w="1853" w:type="dxa"/>
                  <w:noWrap/>
                  <w:vAlign w:val="center"/>
                  <w:hideMark/>
                </w:tcPr>
                <w:p w14:paraId="1136B7E6" w14:textId="77777777" w:rsidR="00967792" w:rsidRPr="003766E4" w:rsidRDefault="00967792" w:rsidP="003766E4">
                  <w:pPr>
                    <w:spacing w:before="20" w:after="20"/>
                    <w:rPr>
                      <w:rFonts w:eastAsiaTheme="minorEastAsia" w:cstheme="minorBidi"/>
                      <w:sz w:val="20"/>
                      <w:lang w:val="es-ES"/>
                    </w:rPr>
                  </w:pPr>
                  <w:r w:rsidRPr="003766E4">
                    <w:rPr>
                      <w:rFonts w:eastAsiaTheme="minorEastAsia" w:cstheme="minorBidi"/>
                      <w:sz w:val="20"/>
                      <w:lang w:val="es-ES"/>
                    </w:rPr>
                    <w:t>11 699</w:t>
                  </w:r>
                </w:p>
              </w:tc>
            </w:tr>
            <w:tr w:rsidR="00967792" w:rsidRPr="00A61288" w14:paraId="3AA43727" w14:textId="77777777" w:rsidTr="003766E4">
              <w:trPr>
                <w:trHeight w:val="300"/>
                <w:jc w:val="center"/>
              </w:trPr>
              <w:tc>
                <w:tcPr>
                  <w:tcW w:w="1922" w:type="dxa"/>
                  <w:noWrap/>
                  <w:vAlign w:val="center"/>
                  <w:hideMark/>
                </w:tcPr>
                <w:p w14:paraId="703E3492" w14:textId="77777777" w:rsidR="00967792" w:rsidRPr="003766E4" w:rsidRDefault="00967792" w:rsidP="003766E4">
                  <w:pPr>
                    <w:spacing w:before="20" w:after="20"/>
                    <w:rPr>
                      <w:rFonts w:eastAsiaTheme="minorEastAsia" w:cstheme="minorBidi"/>
                      <w:sz w:val="20"/>
                      <w:lang w:val="es-ES"/>
                    </w:rPr>
                  </w:pPr>
                  <w:r w:rsidRPr="003766E4">
                    <w:rPr>
                      <w:rFonts w:eastAsiaTheme="minorEastAsia" w:cstheme="minorBidi"/>
                      <w:sz w:val="20"/>
                      <w:lang w:val="es-ES"/>
                    </w:rPr>
                    <w:t>ASIASAT-AKX</w:t>
                  </w:r>
                </w:p>
              </w:tc>
              <w:tc>
                <w:tcPr>
                  <w:tcW w:w="1006" w:type="dxa"/>
                  <w:noWrap/>
                  <w:hideMark/>
                </w:tcPr>
                <w:p w14:paraId="1D73C7F1" w14:textId="77777777" w:rsidR="00967792" w:rsidRPr="003766E4" w:rsidRDefault="00967792" w:rsidP="003766E4">
                  <w:pPr>
                    <w:spacing w:before="20" w:after="20"/>
                    <w:rPr>
                      <w:rFonts w:eastAsiaTheme="minorEastAsia" w:cstheme="minorBidi"/>
                      <w:sz w:val="20"/>
                      <w:lang w:val="es-ES"/>
                    </w:rPr>
                  </w:pPr>
                  <w:r w:rsidRPr="003766E4">
                    <w:rPr>
                      <w:rFonts w:eastAsiaTheme="minorEastAsia" w:cstheme="minorBidi"/>
                      <w:sz w:val="20"/>
                      <w:lang w:val="es-ES"/>
                    </w:rPr>
                    <w:t>122° E</w:t>
                  </w:r>
                </w:p>
              </w:tc>
              <w:tc>
                <w:tcPr>
                  <w:tcW w:w="1691" w:type="dxa"/>
                  <w:noWrap/>
                  <w:vAlign w:val="center"/>
                  <w:hideMark/>
                </w:tcPr>
                <w:p w14:paraId="7DCA289C" w14:textId="77777777" w:rsidR="00967792" w:rsidRPr="003766E4" w:rsidRDefault="00967792" w:rsidP="003766E4">
                  <w:pPr>
                    <w:spacing w:before="20" w:after="20"/>
                    <w:rPr>
                      <w:rFonts w:eastAsiaTheme="minorEastAsia" w:cstheme="minorBidi"/>
                      <w:sz w:val="20"/>
                      <w:lang w:val="es-ES"/>
                    </w:rPr>
                  </w:pPr>
                  <w:r w:rsidRPr="003766E4">
                    <w:rPr>
                      <w:rFonts w:eastAsiaTheme="minorEastAsia" w:cstheme="minorBidi"/>
                      <w:sz w:val="20"/>
                      <w:lang w:val="es-ES"/>
                    </w:rPr>
                    <w:t>13 753</w:t>
                  </w:r>
                </w:p>
              </w:tc>
              <w:tc>
                <w:tcPr>
                  <w:tcW w:w="1853" w:type="dxa"/>
                  <w:noWrap/>
                  <w:vAlign w:val="center"/>
                  <w:hideMark/>
                </w:tcPr>
                <w:p w14:paraId="4F84F47D" w14:textId="77777777" w:rsidR="00967792" w:rsidRPr="003766E4" w:rsidRDefault="00967792" w:rsidP="003766E4">
                  <w:pPr>
                    <w:spacing w:before="20" w:after="20"/>
                    <w:rPr>
                      <w:rFonts w:eastAsiaTheme="minorEastAsia" w:cstheme="minorBidi"/>
                      <w:sz w:val="20"/>
                      <w:lang w:val="es-ES"/>
                    </w:rPr>
                  </w:pPr>
                  <w:r w:rsidRPr="003766E4">
                    <w:rPr>
                      <w:rFonts w:eastAsiaTheme="minorEastAsia" w:cstheme="minorBidi"/>
                      <w:sz w:val="20"/>
                      <w:lang w:val="es-ES"/>
                    </w:rPr>
                    <w:t>14 000</w:t>
                  </w:r>
                </w:p>
              </w:tc>
            </w:tr>
          </w:tbl>
          <w:p w14:paraId="48E4A18B" w14:textId="77777777" w:rsidR="00967792" w:rsidRPr="00A61288" w:rsidRDefault="00967792" w:rsidP="00B53355">
            <w:pPr>
              <w:spacing w:before="40" w:after="40"/>
              <w:rPr>
                <w:i/>
                <w:sz w:val="22"/>
                <w:lang w:val="es-ES"/>
              </w:rPr>
            </w:pPr>
            <w:r w:rsidRPr="00A61288">
              <w:rPr>
                <w:i/>
                <w:sz w:val="22"/>
                <w:lang w:val="es-ES"/>
              </w:rPr>
              <w:t>Solicitud relativa a las redes de satélites INTELSAT8 328.5E e INTELSAT9 328.5E</w:t>
            </w:r>
          </w:p>
          <w:p w14:paraId="06162B30" w14:textId="77777777" w:rsidR="00967792" w:rsidRPr="00A61288" w:rsidRDefault="00967792" w:rsidP="00B53355">
            <w:pPr>
              <w:spacing w:before="40" w:after="40"/>
              <w:rPr>
                <w:sz w:val="22"/>
                <w:lang w:val="es-ES"/>
              </w:rPr>
            </w:pPr>
            <w:r w:rsidRPr="00A61288">
              <w:rPr>
                <w:sz w:val="22"/>
                <w:lang w:val="es-ES"/>
              </w:rPr>
              <w:t>La CMR-19 consideró la solicitud específica formulada en el Documento 46(Add.22) en relación con el mantenimiento de las asignaciones de frecuencias a las redes de satélites INTELSAT8 328.5E e INTELSAT9 328.5E en las bandas de frecuencias 10 950</w:t>
            </w:r>
            <w:r w:rsidRPr="00A61288">
              <w:rPr>
                <w:sz w:val="22"/>
                <w:lang w:val="es-ES"/>
              </w:rPr>
              <w:noBreakHyphen/>
              <w:t>11 195 MHz y 11 197,98</w:t>
            </w:r>
            <w:r w:rsidRPr="00A61288">
              <w:rPr>
                <w:sz w:val="22"/>
                <w:lang w:val="es-ES"/>
              </w:rPr>
              <w:noBreakHyphen/>
              <w:t xml:space="preserve">11 198,03 MHz. La CMR-19 decidió acceder a la solicitud específica formulada en ese documento, habida cuenta de las cuestiones particulares planteadas en </w:t>
            </w:r>
            <w:r w:rsidRPr="00A61288">
              <w:rPr>
                <w:sz w:val="22"/>
                <w:lang w:val="es-ES"/>
              </w:rPr>
              <w:lastRenderedPageBreak/>
              <w:t xml:space="preserve">el documento. Por consiguiente, la CMR-19 encargó a la Oficina de Radiocomunicaciones que conserve las asignaciones de frecuencias mencionadas en el Registro Internacional de Frecuencias. </w:t>
            </w:r>
          </w:p>
          <w:p w14:paraId="1B83942D" w14:textId="77777777" w:rsidR="00967792" w:rsidRPr="00A61288" w:rsidRDefault="00967792" w:rsidP="00B53355">
            <w:pPr>
              <w:spacing w:before="40" w:after="40"/>
              <w:rPr>
                <w:b/>
                <w:sz w:val="22"/>
                <w:lang w:val="es-ES"/>
              </w:rPr>
            </w:pPr>
            <w:r w:rsidRPr="00A61288">
              <w:rPr>
                <w:b/>
                <w:sz w:val="22"/>
                <w:lang w:val="es-ES"/>
              </w:rPr>
              <w:t>Solicitud de inclusión en los planes de los Apéndices 30 y 30A del RR de 10 asignaciones en la posición orbital 1,9° E en sustitución de las asignaciones correspondientes a Bulgaria que figuran en los planes en 1,2° W</w:t>
            </w:r>
          </w:p>
          <w:p w14:paraId="21D83D9E" w14:textId="6E12DD2D" w:rsidR="00967792" w:rsidRPr="00A61288" w:rsidRDefault="00967792" w:rsidP="00B53355">
            <w:pPr>
              <w:spacing w:before="40" w:after="40"/>
              <w:rPr>
                <w:bCs/>
                <w:sz w:val="22"/>
                <w:lang w:val="es-ES"/>
              </w:rPr>
            </w:pPr>
            <w:r w:rsidRPr="00A61288">
              <w:rPr>
                <w:sz w:val="22"/>
                <w:lang w:val="es-ES"/>
              </w:rPr>
              <w:t>La CMR-19 consideró la solicitud específica formulada en el Documento</w:t>
            </w:r>
            <w:r w:rsidR="00612BF6">
              <w:rPr>
                <w:sz w:val="22"/>
                <w:lang w:val="es-ES"/>
              </w:rPr>
              <w:t> </w:t>
            </w:r>
            <w:r w:rsidRPr="00A61288">
              <w:rPr>
                <w:sz w:val="22"/>
                <w:lang w:val="es-ES"/>
              </w:rPr>
              <w:t xml:space="preserve">43(Add.2) en relación con la inclusión en los planes de los Apéndices </w:t>
            </w:r>
            <w:r w:rsidRPr="00A61288">
              <w:rPr>
                <w:b/>
                <w:bCs/>
                <w:sz w:val="22"/>
                <w:lang w:val="es-ES"/>
              </w:rPr>
              <w:t>30</w:t>
            </w:r>
            <w:r w:rsidRPr="00A61288">
              <w:rPr>
                <w:sz w:val="22"/>
                <w:lang w:val="es-ES"/>
              </w:rPr>
              <w:t xml:space="preserve"> y </w:t>
            </w:r>
            <w:r w:rsidRPr="00A61288">
              <w:rPr>
                <w:b/>
                <w:bCs/>
                <w:sz w:val="22"/>
                <w:lang w:val="es-ES"/>
              </w:rPr>
              <w:t>30A</w:t>
            </w:r>
            <w:r w:rsidRPr="00A61288">
              <w:rPr>
                <w:sz w:val="22"/>
                <w:lang w:val="es-ES"/>
              </w:rPr>
              <w:t xml:space="preserve"> del RR de 10 asignaciones en la posición orbital 1,9° E en sustitución de las asignaciones correspondientes a Bulgaria consignadas en los planes en la posición 1,2° W, de conformidad con el número 4.1.27 del Artículo 4 de los Apéndices </w:t>
            </w:r>
            <w:r w:rsidRPr="00A61288">
              <w:rPr>
                <w:b/>
                <w:bCs/>
                <w:sz w:val="22"/>
                <w:lang w:val="es-ES"/>
              </w:rPr>
              <w:t>30</w:t>
            </w:r>
            <w:r w:rsidRPr="00A61288">
              <w:rPr>
                <w:sz w:val="22"/>
                <w:lang w:val="es-ES"/>
              </w:rPr>
              <w:t xml:space="preserve"> y </w:t>
            </w:r>
            <w:r w:rsidRPr="00A61288">
              <w:rPr>
                <w:b/>
                <w:bCs/>
                <w:sz w:val="22"/>
                <w:lang w:val="es-ES"/>
              </w:rPr>
              <w:t>30A</w:t>
            </w:r>
            <w:r w:rsidRPr="00A61288">
              <w:rPr>
                <w:bCs/>
                <w:sz w:val="22"/>
                <w:lang w:val="es-ES"/>
              </w:rPr>
              <w:t>. Reconociendo que esta solicitud está relacionada con una decisión de la CMR</w:t>
            </w:r>
            <w:r w:rsidRPr="00A61288">
              <w:rPr>
                <w:bCs/>
                <w:sz w:val="22"/>
                <w:lang w:val="es-ES"/>
              </w:rPr>
              <w:noBreakHyphen/>
              <w:t>12 sobre el mismo tema y habida cuenta de los resultados de las actividades realizadas desde la CMR</w:t>
            </w:r>
            <w:r w:rsidRPr="00A61288">
              <w:rPr>
                <w:bCs/>
                <w:sz w:val="22"/>
                <w:lang w:val="es-ES"/>
              </w:rPr>
              <w:noBreakHyphen/>
              <w:t xml:space="preserve">12 y la finalización exitosa del procedimiento del Artículo 4 del Apéndice </w:t>
            </w:r>
            <w:r w:rsidRPr="00A61288">
              <w:rPr>
                <w:b/>
                <w:bCs/>
                <w:sz w:val="22"/>
                <w:lang w:val="es-ES"/>
              </w:rPr>
              <w:t>30</w:t>
            </w:r>
            <w:r w:rsidRPr="00A61288">
              <w:rPr>
                <w:bCs/>
                <w:sz w:val="22"/>
                <w:lang w:val="es-ES"/>
              </w:rPr>
              <w:t xml:space="preserve"> del RR y la presentación de la notificación conforme al Artículo 4 del Apéndice</w:t>
            </w:r>
            <w:r w:rsidR="0025704A">
              <w:rPr>
                <w:bCs/>
                <w:sz w:val="22"/>
                <w:lang w:val="es-ES"/>
              </w:rPr>
              <w:t> </w:t>
            </w:r>
            <w:r w:rsidRPr="00A61288">
              <w:rPr>
                <w:b/>
                <w:bCs/>
                <w:sz w:val="22"/>
                <w:lang w:val="es-ES"/>
              </w:rPr>
              <w:t>30</w:t>
            </w:r>
            <w:r w:rsidRPr="00A61288">
              <w:rPr>
                <w:bCs/>
                <w:sz w:val="22"/>
                <w:lang w:val="es-ES"/>
              </w:rPr>
              <w:t xml:space="preserve"> del RR para canales del SRS en la banda de frecuencias 11,7-12,2 GHz en la posición orbital 1,9</w:t>
            </w:r>
            <w:r w:rsidRPr="00A61288">
              <w:rPr>
                <w:sz w:val="22"/>
                <w:lang w:val="es-ES"/>
              </w:rPr>
              <w:t>°</w:t>
            </w:r>
            <w:r w:rsidRPr="00A61288">
              <w:rPr>
                <w:bCs/>
                <w:sz w:val="22"/>
                <w:lang w:val="es-ES"/>
              </w:rPr>
              <w:t> E, la CMR-19 decidió acceder a la solicitud</w:t>
            </w:r>
            <w:r w:rsidRPr="00A61288">
              <w:rPr>
                <w:sz w:val="22"/>
                <w:lang w:val="es-ES"/>
              </w:rPr>
              <w:t>.</w:t>
            </w:r>
          </w:p>
          <w:p w14:paraId="7FC0A3DF" w14:textId="58D967E4" w:rsidR="00967792" w:rsidRPr="00A61288" w:rsidRDefault="00967792" w:rsidP="00B53355">
            <w:pPr>
              <w:spacing w:before="40" w:after="40"/>
              <w:rPr>
                <w:sz w:val="22"/>
                <w:lang w:val="es-ES"/>
              </w:rPr>
            </w:pPr>
            <w:r w:rsidRPr="00A61288">
              <w:rPr>
                <w:sz w:val="22"/>
                <w:lang w:val="es-ES"/>
              </w:rPr>
              <w:t xml:space="preserve">La CMR-19 encargó a la Oficina de Radiocomunicaciones que incluya en los Planes de los Apéndices </w:t>
            </w:r>
            <w:r w:rsidRPr="00A61288">
              <w:rPr>
                <w:b/>
                <w:bCs/>
                <w:sz w:val="22"/>
                <w:lang w:val="es-ES"/>
              </w:rPr>
              <w:t>30</w:t>
            </w:r>
            <w:r w:rsidRPr="00A61288">
              <w:rPr>
                <w:sz w:val="22"/>
                <w:lang w:val="es-ES"/>
              </w:rPr>
              <w:t xml:space="preserve"> y </w:t>
            </w:r>
            <w:r w:rsidRPr="00A61288">
              <w:rPr>
                <w:b/>
                <w:bCs/>
                <w:sz w:val="22"/>
                <w:lang w:val="es-ES"/>
              </w:rPr>
              <w:t>30A</w:t>
            </w:r>
            <w:r w:rsidRPr="00A61288">
              <w:rPr>
                <w:sz w:val="22"/>
                <w:lang w:val="es-ES"/>
              </w:rPr>
              <w:t xml:space="preserve"> del RR diez canales del SRS y de enlaces de conexión del SRS de 33 MHz, a saber, los canales 1, 2, 3, 4, 5, 6, 7, 8, 17 y 18, con las características indicadas en el Cuadro 1 siguiente, para la Administración de Bulgaria. Una vez finalizada dicha inclusión, la Oficina de Radiocomunicaciones suprimirá las actuales asignaciones en la posición 1,2° W de la Administración de Bulgaria de los Planes de los Apéndices </w:t>
            </w:r>
            <w:r w:rsidRPr="00A61288">
              <w:rPr>
                <w:b/>
                <w:bCs/>
                <w:sz w:val="22"/>
                <w:lang w:val="es-ES"/>
              </w:rPr>
              <w:t>30</w:t>
            </w:r>
            <w:r w:rsidRPr="00A61288">
              <w:rPr>
                <w:sz w:val="22"/>
                <w:lang w:val="es-ES"/>
              </w:rPr>
              <w:t xml:space="preserve"> y </w:t>
            </w:r>
            <w:r w:rsidRPr="00A61288">
              <w:rPr>
                <w:b/>
                <w:bCs/>
                <w:sz w:val="22"/>
                <w:lang w:val="es-ES"/>
              </w:rPr>
              <w:t>30A</w:t>
            </w:r>
            <w:r w:rsidRPr="00A61288">
              <w:rPr>
                <w:sz w:val="22"/>
                <w:lang w:val="es-ES"/>
              </w:rPr>
              <w:t xml:space="preserve"> y suprimirá las asignaciones de frecuencias correspondientes a los 10 canales indicados de la Lista de usos adicionales y la entrada del Registro Internacional correspondiente a la red de satélites BULSAT</w:t>
            </w:r>
            <w:r w:rsidR="0025704A">
              <w:rPr>
                <w:sz w:val="22"/>
                <w:lang w:val="es-ES"/>
              </w:rPr>
              <w:noBreakHyphen/>
            </w:r>
            <w:r w:rsidRPr="00A61288">
              <w:rPr>
                <w:sz w:val="22"/>
                <w:lang w:val="es-ES"/>
              </w:rPr>
              <w:t>BSS</w:t>
            </w:r>
            <w:r w:rsidR="0025704A">
              <w:rPr>
                <w:sz w:val="22"/>
                <w:lang w:val="es-ES"/>
              </w:rPr>
              <w:noBreakHyphen/>
            </w:r>
            <w:r w:rsidRPr="00A61288">
              <w:rPr>
                <w:sz w:val="22"/>
                <w:lang w:val="es-ES"/>
              </w:rPr>
              <w:t>1.2W-W, como se muestra en el Cuadro 2 siguiente.</w:t>
            </w:r>
          </w:p>
          <w:p w14:paraId="1C5B9B2C" w14:textId="19EE3DF0" w:rsidR="00967792" w:rsidRPr="00A61288" w:rsidRDefault="00612BF6" w:rsidP="00F65386">
            <w:pPr>
              <w:keepNext/>
              <w:keepLines/>
              <w:spacing w:before="40" w:after="40"/>
              <w:jc w:val="center"/>
              <w:rPr>
                <w:sz w:val="22"/>
                <w:lang w:val="es-ES"/>
              </w:rPr>
            </w:pPr>
            <w:r w:rsidRPr="00A61288">
              <w:rPr>
                <w:sz w:val="22"/>
                <w:lang w:val="es-ES"/>
              </w:rPr>
              <w:lastRenderedPageBreak/>
              <w:t xml:space="preserve">CUADRO </w:t>
            </w:r>
            <w:r w:rsidR="00967792" w:rsidRPr="00A61288">
              <w:rPr>
                <w:sz w:val="22"/>
                <w:lang w:val="es-ES"/>
              </w:rPr>
              <w:t>1</w:t>
            </w:r>
          </w:p>
          <w:p w14:paraId="015CB5E3" w14:textId="77777777" w:rsidR="00967792" w:rsidRPr="00A61288" w:rsidRDefault="00967792" w:rsidP="00612BF6">
            <w:pPr>
              <w:spacing w:before="40" w:after="80"/>
              <w:jc w:val="center"/>
              <w:rPr>
                <w:b/>
                <w:sz w:val="22"/>
                <w:lang w:val="es-ES"/>
              </w:rPr>
            </w:pPr>
            <w:r w:rsidRPr="00A61288">
              <w:rPr>
                <w:b/>
                <w:sz w:val="22"/>
                <w:lang w:val="es-ES"/>
              </w:rPr>
              <w:t>Lista de características de las nuevas asignaciones del Plan del</w:t>
            </w:r>
            <w:r w:rsidRPr="00A61288">
              <w:rPr>
                <w:b/>
                <w:sz w:val="22"/>
                <w:lang w:val="es-ES"/>
              </w:rPr>
              <w:br/>
              <w:t>Apéndice 30 y 30A del RR para la Administración de Bulgaria</w:t>
            </w:r>
          </w:p>
          <w:tbl>
            <w:tblPr>
              <w:tblStyle w:val="TableGrid"/>
              <w:tblW w:w="4500" w:type="pct"/>
              <w:jc w:val="center"/>
              <w:tblLayout w:type="fixed"/>
              <w:tblLook w:val="04A0" w:firstRow="1" w:lastRow="0" w:firstColumn="1" w:lastColumn="0" w:noHBand="0" w:noVBand="1"/>
            </w:tblPr>
            <w:tblGrid>
              <w:gridCol w:w="2220"/>
              <w:gridCol w:w="1699"/>
              <w:gridCol w:w="1699"/>
            </w:tblGrid>
            <w:tr w:rsidR="00967792" w:rsidRPr="00A61288" w14:paraId="147F9861" w14:textId="77777777" w:rsidTr="00070ACF">
              <w:trPr>
                <w:tblHeader/>
                <w:jc w:val="center"/>
              </w:trPr>
              <w:tc>
                <w:tcPr>
                  <w:tcW w:w="3441" w:type="dxa"/>
                  <w:tcBorders>
                    <w:top w:val="single" w:sz="4" w:space="0" w:color="auto"/>
                    <w:left w:val="single" w:sz="4" w:space="0" w:color="auto"/>
                    <w:bottom w:val="single" w:sz="4" w:space="0" w:color="auto"/>
                    <w:right w:val="single" w:sz="4" w:space="0" w:color="auto"/>
                  </w:tcBorders>
                  <w:hideMark/>
                </w:tcPr>
                <w:p w14:paraId="5CBA8334" w14:textId="77777777" w:rsidR="00967792" w:rsidRPr="00612BF6" w:rsidRDefault="00967792" w:rsidP="00612BF6">
                  <w:pPr>
                    <w:spacing w:before="40" w:after="40"/>
                    <w:jc w:val="center"/>
                    <w:rPr>
                      <w:b/>
                      <w:sz w:val="20"/>
                      <w:szCs w:val="20"/>
                      <w:lang w:val="es-ES"/>
                    </w:rPr>
                  </w:pPr>
                  <w:r w:rsidRPr="00612BF6">
                    <w:rPr>
                      <w:b/>
                      <w:sz w:val="20"/>
                      <w:szCs w:val="20"/>
                      <w:lang w:val="es-ES"/>
                    </w:rPr>
                    <w:t>Parámetro</w:t>
                  </w:r>
                </w:p>
              </w:tc>
              <w:tc>
                <w:tcPr>
                  <w:tcW w:w="2600" w:type="dxa"/>
                  <w:tcBorders>
                    <w:top w:val="single" w:sz="4" w:space="0" w:color="auto"/>
                    <w:left w:val="single" w:sz="4" w:space="0" w:color="auto"/>
                    <w:bottom w:val="single" w:sz="4" w:space="0" w:color="auto"/>
                    <w:right w:val="single" w:sz="4" w:space="0" w:color="auto"/>
                  </w:tcBorders>
                  <w:hideMark/>
                </w:tcPr>
                <w:p w14:paraId="7A485581" w14:textId="77777777" w:rsidR="00967792" w:rsidRPr="00612BF6" w:rsidRDefault="00967792" w:rsidP="00612BF6">
                  <w:pPr>
                    <w:spacing w:before="40" w:after="40"/>
                    <w:jc w:val="center"/>
                    <w:rPr>
                      <w:b/>
                      <w:sz w:val="20"/>
                      <w:szCs w:val="20"/>
                      <w:lang w:val="es-ES"/>
                    </w:rPr>
                  </w:pPr>
                  <w:r w:rsidRPr="00612BF6">
                    <w:rPr>
                      <w:b/>
                      <w:sz w:val="20"/>
                      <w:szCs w:val="20"/>
                      <w:lang w:val="es-ES"/>
                    </w:rPr>
                    <w:t>Enlace descendente</w:t>
                  </w:r>
                </w:p>
              </w:tc>
              <w:tc>
                <w:tcPr>
                  <w:tcW w:w="2599" w:type="dxa"/>
                  <w:tcBorders>
                    <w:top w:val="single" w:sz="4" w:space="0" w:color="auto"/>
                    <w:left w:val="single" w:sz="4" w:space="0" w:color="auto"/>
                    <w:bottom w:val="single" w:sz="4" w:space="0" w:color="auto"/>
                    <w:right w:val="single" w:sz="4" w:space="0" w:color="auto"/>
                  </w:tcBorders>
                  <w:hideMark/>
                </w:tcPr>
                <w:p w14:paraId="44052595" w14:textId="77777777" w:rsidR="00967792" w:rsidRPr="00612BF6" w:rsidRDefault="00967792" w:rsidP="00612BF6">
                  <w:pPr>
                    <w:spacing w:before="40" w:after="40"/>
                    <w:jc w:val="center"/>
                    <w:rPr>
                      <w:b/>
                      <w:sz w:val="20"/>
                      <w:szCs w:val="20"/>
                      <w:lang w:val="es-ES"/>
                    </w:rPr>
                  </w:pPr>
                  <w:r w:rsidRPr="00612BF6">
                    <w:rPr>
                      <w:b/>
                      <w:sz w:val="20"/>
                      <w:szCs w:val="20"/>
                      <w:lang w:val="es-ES"/>
                    </w:rPr>
                    <w:t>Enlace de conexión</w:t>
                  </w:r>
                </w:p>
              </w:tc>
            </w:tr>
            <w:tr w:rsidR="00967792" w:rsidRPr="00A61288" w14:paraId="750984AC" w14:textId="77777777" w:rsidTr="00070ACF">
              <w:trPr>
                <w:jc w:val="center"/>
              </w:trPr>
              <w:tc>
                <w:tcPr>
                  <w:tcW w:w="3441" w:type="dxa"/>
                  <w:tcBorders>
                    <w:top w:val="single" w:sz="4" w:space="0" w:color="auto"/>
                    <w:left w:val="single" w:sz="4" w:space="0" w:color="auto"/>
                    <w:bottom w:val="single" w:sz="4" w:space="0" w:color="auto"/>
                    <w:right w:val="single" w:sz="4" w:space="0" w:color="auto"/>
                  </w:tcBorders>
                  <w:hideMark/>
                </w:tcPr>
                <w:p w14:paraId="7E056D25" w14:textId="77777777" w:rsidR="00967792" w:rsidRPr="00612BF6" w:rsidRDefault="00967792" w:rsidP="00612BF6">
                  <w:pPr>
                    <w:spacing w:before="20" w:after="20"/>
                    <w:rPr>
                      <w:sz w:val="20"/>
                      <w:szCs w:val="20"/>
                      <w:lang w:val="es-ES"/>
                    </w:rPr>
                  </w:pPr>
                  <w:r w:rsidRPr="00612BF6">
                    <w:rPr>
                      <w:sz w:val="20"/>
                      <w:szCs w:val="20"/>
                      <w:lang w:val="es-ES"/>
                    </w:rPr>
                    <w:t>Posición orbital</w:t>
                  </w:r>
                </w:p>
              </w:tc>
              <w:tc>
                <w:tcPr>
                  <w:tcW w:w="5199" w:type="dxa"/>
                  <w:gridSpan w:val="2"/>
                  <w:tcBorders>
                    <w:top w:val="single" w:sz="4" w:space="0" w:color="auto"/>
                    <w:left w:val="single" w:sz="4" w:space="0" w:color="auto"/>
                    <w:bottom w:val="single" w:sz="4" w:space="0" w:color="auto"/>
                    <w:right w:val="single" w:sz="4" w:space="0" w:color="auto"/>
                  </w:tcBorders>
                  <w:hideMark/>
                </w:tcPr>
                <w:p w14:paraId="31390F37" w14:textId="77777777" w:rsidR="00967792" w:rsidRPr="00612BF6" w:rsidRDefault="00967792" w:rsidP="00612BF6">
                  <w:pPr>
                    <w:spacing w:before="20" w:after="20"/>
                    <w:rPr>
                      <w:sz w:val="20"/>
                      <w:szCs w:val="20"/>
                      <w:lang w:val="es-ES"/>
                    </w:rPr>
                  </w:pPr>
                  <w:r w:rsidRPr="00612BF6">
                    <w:rPr>
                      <w:sz w:val="20"/>
                      <w:szCs w:val="20"/>
                      <w:lang w:val="es-ES"/>
                    </w:rPr>
                    <w:t>1,9° E</w:t>
                  </w:r>
                </w:p>
              </w:tc>
            </w:tr>
            <w:tr w:rsidR="00967792" w:rsidRPr="00A61288" w14:paraId="48755113" w14:textId="77777777" w:rsidTr="00070ACF">
              <w:trPr>
                <w:jc w:val="center"/>
              </w:trPr>
              <w:tc>
                <w:tcPr>
                  <w:tcW w:w="3441" w:type="dxa"/>
                  <w:tcBorders>
                    <w:top w:val="single" w:sz="4" w:space="0" w:color="auto"/>
                    <w:left w:val="single" w:sz="4" w:space="0" w:color="auto"/>
                    <w:bottom w:val="single" w:sz="4" w:space="0" w:color="auto"/>
                    <w:right w:val="single" w:sz="4" w:space="0" w:color="auto"/>
                  </w:tcBorders>
                  <w:hideMark/>
                </w:tcPr>
                <w:p w14:paraId="0933B692" w14:textId="77777777" w:rsidR="00967792" w:rsidRPr="00612BF6" w:rsidRDefault="00967792" w:rsidP="00612BF6">
                  <w:pPr>
                    <w:spacing w:before="20" w:after="20"/>
                    <w:rPr>
                      <w:sz w:val="20"/>
                      <w:szCs w:val="20"/>
                      <w:lang w:val="es-ES"/>
                    </w:rPr>
                  </w:pPr>
                  <w:r w:rsidRPr="00612BF6">
                    <w:rPr>
                      <w:sz w:val="20"/>
                      <w:szCs w:val="20"/>
                      <w:lang w:val="es-ES"/>
                    </w:rPr>
                    <w:t>Mantenimiento en posición de la estación (este-oeste)</w:t>
                  </w:r>
                </w:p>
              </w:tc>
              <w:tc>
                <w:tcPr>
                  <w:tcW w:w="5199" w:type="dxa"/>
                  <w:gridSpan w:val="2"/>
                  <w:tcBorders>
                    <w:top w:val="single" w:sz="4" w:space="0" w:color="auto"/>
                    <w:left w:val="single" w:sz="4" w:space="0" w:color="auto"/>
                    <w:bottom w:val="single" w:sz="4" w:space="0" w:color="auto"/>
                    <w:right w:val="single" w:sz="4" w:space="0" w:color="auto"/>
                  </w:tcBorders>
                  <w:hideMark/>
                </w:tcPr>
                <w:p w14:paraId="1FEFAAB9" w14:textId="77777777" w:rsidR="00967792" w:rsidRPr="00612BF6" w:rsidRDefault="00967792" w:rsidP="00612BF6">
                  <w:pPr>
                    <w:spacing w:before="20" w:after="20"/>
                    <w:rPr>
                      <w:sz w:val="20"/>
                      <w:szCs w:val="20"/>
                      <w:lang w:val="es-ES"/>
                    </w:rPr>
                  </w:pPr>
                  <w:r w:rsidRPr="00612BF6">
                    <w:rPr>
                      <w:sz w:val="20"/>
                      <w:szCs w:val="20"/>
                      <w:lang w:val="es-ES"/>
                    </w:rPr>
                    <w:t>0,05°</w:t>
                  </w:r>
                </w:p>
              </w:tc>
            </w:tr>
            <w:tr w:rsidR="00967792" w:rsidRPr="00A61288" w14:paraId="6500AA16" w14:textId="77777777" w:rsidTr="00070ACF">
              <w:trPr>
                <w:jc w:val="center"/>
              </w:trPr>
              <w:tc>
                <w:tcPr>
                  <w:tcW w:w="3441" w:type="dxa"/>
                  <w:tcBorders>
                    <w:top w:val="single" w:sz="4" w:space="0" w:color="auto"/>
                    <w:left w:val="single" w:sz="4" w:space="0" w:color="auto"/>
                    <w:bottom w:val="single" w:sz="4" w:space="0" w:color="auto"/>
                    <w:right w:val="single" w:sz="4" w:space="0" w:color="auto"/>
                  </w:tcBorders>
                  <w:hideMark/>
                </w:tcPr>
                <w:p w14:paraId="57B425E2" w14:textId="77777777" w:rsidR="00967792" w:rsidRPr="00612BF6" w:rsidRDefault="00967792" w:rsidP="00612BF6">
                  <w:pPr>
                    <w:spacing w:before="20" w:after="20"/>
                    <w:rPr>
                      <w:sz w:val="20"/>
                      <w:szCs w:val="20"/>
                      <w:lang w:val="es-ES"/>
                    </w:rPr>
                  </w:pPr>
                  <w:r w:rsidRPr="00612BF6">
                    <w:rPr>
                      <w:sz w:val="20"/>
                      <w:szCs w:val="20"/>
                      <w:lang w:val="es-ES"/>
                    </w:rPr>
                    <w:t>Identificación del haz</w:t>
                  </w:r>
                </w:p>
              </w:tc>
              <w:tc>
                <w:tcPr>
                  <w:tcW w:w="5199" w:type="dxa"/>
                  <w:gridSpan w:val="2"/>
                  <w:tcBorders>
                    <w:top w:val="single" w:sz="4" w:space="0" w:color="auto"/>
                    <w:left w:val="single" w:sz="4" w:space="0" w:color="auto"/>
                    <w:bottom w:val="single" w:sz="4" w:space="0" w:color="auto"/>
                    <w:right w:val="single" w:sz="4" w:space="0" w:color="auto"/>
                  </w:tcBorders>
                  <w:hideMark/>
                </w:tcPr>
                <w:p w14:paraId="351E4317" w14:textId="77777777" w:rsidR="00967792" w:rsidRPr="00612BF6" w:rsidRDefault="00967792" w:rsidP="00612BF6">
                  <w:pPr>
                    <w:spacing w:before="20" w:after="20"/>
                    <w:rPr>
                      <w:sz w:val="20"/>
                      <w:szCs w:val="20"/>
                      <w:lang w:val="es-ES"/>
                    </w:rPr>
                  </w:pPr>
                  <w:r w:rsidRPr="00612BF6">
                    <w:rPr>
                      <w:sz w:val="20"/>
                      <w:szCs w:val="20"/>
                      <w:lang w:val="es-ES"/>
                    </w:rPr>
                    <w:t>BUL02000</w:t>
                  </w:r>
                </w:p>
              </w:tc>
            </w:tr>
            <w:tr w:rsidR="00967792" w:rsidRPr="00A61288" w14:paraId="58524E3B" w14:textId="77777777" w:rsidTr="00070ACF">
              <w:trPr>
                <w:jc w:val="center"/>
              </w:trPr>
              <w:tc>
                <w:tcPr>
                  <w:tcW w:w="3441" w:type="dxa"/>
                  <w:tcBorders>
                    <w:top w:val="single" w:sz="4" w:space="0" w:color="auto"/>
                    <w:left w:val="single" w:sz="4" w:space="0" w:color="auto"/>
                    <w:bottom w:val="single" w:sz="4" w:space="0" w:color="auto"/>
                    <w:right w:val="single" w:sz="4" w:space="0" w:color="auto"/>
                  </w:tcBorders>
                  <w:hideMark/>
                </w:tcPr>
                <w:p w14:paraId="6589FAF0" w14:textId="77777777" w:rsidR="00967792" w:rsidRPr="00612BF6" w:rsidRDefault="00967792" w:rsidP="00612BF6">
                  <w:pPr>
                    <w:spacing w:before="20" w:after="20"/>
                    <w:rPr>
                      <w:sz w:val="20"/>
                      <w:szCs w:val="20"/>
                      <w:lang w:val="es-ES"/>
                    </w:rPr>
                  </w:pPr>
                  <w:r w:rsidRPr="00612BF6">
                    <w:rPr>
                      <w:sz w:val="20"/>
                      <w:szCs w:val="20"/>
                      <w:lang w:val="es-ES"/>
                    </w:rPr>
                    <w:t>Fecha de recepción</w:t>
                  </w:r>
                </w:p>
              </w:tc>
              <w:tc>
                <w:tcPr>
                  <w:tcW w:w="5199" w:type="dxa"/>
                  <w:gridSpan w:val="2"/>
                  <w:tcBorders>
                    <w:top w:val="single" w:sz="4" w:space="0" w:color="auto"/>
                    <w:left w:val="single" w:sz="4" w:space="0" w:color="auto"/>
                    <w:bottom w:val="single" w:sz="4" w:space="0" w:color="auto"/>
                    <w:right w:val="single" w:sz="4" w:space="0" w:color="auto"/>
                  </w:tcBorders>
                  <w:hideMark/>
                </w:tcPr>
                <w:p w14:paraId="796CA712" w14:textId="77777777" w:rsidR="00967792" w:rsidRPr="00612BF6" w:rsidRDefault="00967792" w:rsidP="00612BF6">
                  <w:pPr>
                    <w:spacing w:before="20" w:after="20"/>
                    <w:rPr>
                      <w:sz w:val="20"/>
                      <w:szCs w:val="20"/>
                      <w:lang w:val="es-ES"/>
                    </w:rPr>
                  </w:pPr>
                  <w:r w:rsidRPr="00612BF6">
                    <w:rPr>
                      <w:sz w:val="20"/>
                      <w:szCs w:val="20"/>
                      <w:lang w:val="es-ES"/>
                    </w:rPr>
                    <w:t>23/11/2019</w:t>
                  </w:r>
                </w:p>
              </w:tc>
            </w:tr>
            <w:tr w:rsidR="00967792" w:rsidRPr="00A61288" w14:paraId="69FC2381" w14:textId="77777777" w:rsidTr="00070ACF">
              <w:trPr>
                <w:jc w:val="center"/>
              </w:trPr>
              <w:tc>
                <w:tcPr>
                  <w:tcW w:w="3441" w:type="dxa"/>
                  <w:tcBorders>
                    <w:top w:val="single" w:sz="4" w:space="0" w:color="auto"/>
                    <w:left w:val="single" w:sz="4" w:space="0" w:color="auto"/>
                    <w:bottom w:val="single" w:sz="4" w:space="0" w:color="auto"/>
                    <w:right w:val="single" w:sz="4" w:space="0" w:color="auto"/>
                  </w:tcBorders>
                  <w:hideMark/>
                </w:tcPr>
                <w:p w14:paraId="68900E77" w14:textId="77777777" w:rsidR="00967792" w:rsidRPr="00612BF6" w:rsidRDefault="00967792" w:rsidP="00612BF6">
                  <w:pPr>
                    <w:spacing w:before="20" w:after="20"/>
                    <w:rPr>
                      <w:sz w:val="20"/>
                      <w:szCs w:val="20"/>
                      <w:lang w:val="es-ES"/>
                    </w:rPr>
                  </w:pPr>
                  <w:r w:rsidRPr="00612BF6">
                    <w:rPr>
                      <w:sz w:val="20"/>
                      <w:szCs w:val="20"/>
                      <w:lang w:val="es-ES"/>
                    </w:rPr>
                    <w:t>Fecha de protección</w:t>
                  </w:r>
                </w:p>
              </w:tc>
              <w:tc>
                <w:tcPr>
                  <w:tcW w:w="2600" w:type="dxa"/>
                  <w:tcBorders>
                    <w:top w:val="single" w:sz="4" w:space="0" w:color="auto"/>
                    <w:left w:val="single" w:sz="4" w:space="0" w:color="auto"/>
                    <w:bottom w:val="single" w:sz="4" w:space="0" w:color="auto"/>
                    <w:right w:val="single" w:sz="4" w:space="0" w:color="auto"/>
                  </w:tcBorders>
                  <w:hideMark/>
                </w:tcPr>
                <w:p w14:paraId="7987CDAF" w14:textId="77777777" w:rsidR="00967792" w:rsidRPr="00612BF6" w:rsidRDefault="00967792" w:rsidP="00612BF6">
                  <w:pPr>
                    <w:spacing w:before="20" w:after="20"/>
                    <w:rPr>
                      <w:sz w:val="20"/>
                      <w:szCs w:val="20"/>
                      <w:lang w:val="es-ES"/>
                    </w:rPr>
                  </w:pPr>
                  <w:r w:rsidRPr="00612BF6">
                    <w:rPr>
                      <w:sz w:val="20"/>
                      <w:szCs w:val="20"/>
                      <w:lang w:val="es-ES"/>
                    </w:rPr>
                    <w:t>19/03/2012</w:t>
                  </w:r>
                </w:p>
              </w:tc>
              <w:tc>
                <w:tcPr>
                  <w:tcW w:w="2599" w:type="dxa"/>
                  <w:tcBorders>
                    <w:top w:val="single" w:sz="4" w:space="0" w:color="auto"/>
                    <w:left w:val="single" w:sz="4" w:space="0" w:color="auto"/>
                    <w:bottom w:val="single" w:sz="4" w:space="0" w:color="auto"/>
                    <w:right w:val="single" w:sz="4" w:space="0" w:color="auto"/>
                  </w:tcBorders>
                  <w:hideMark/>
                </w:tcPr>
                <w:p w14:paraId="69EAA656" w14:textId="77777777" w:rsidR="00967792" w:rsidRPr="00612BF6" w:rsidRDefault="00967792" w:rsidP="00612BF6">
                  <w:pPr>
                    <w:spacing w:before="20" w:after="20"/>
                    <w:rPr>
                      <w:sz w:val="20"/>
                      <w:szCs w:val="20"/>
                      <w:lang w:val="es-ES"/>
                    </w:rPr>
                  </w:pPr>
                  <w:r w:rsidRPr="00612BF6">
                    <w:rPr>
                      <w:sz w:val="20"/>
                      <w:szCs w:val="20"/>
                      <w:lang w:val="es-ES"/>
                    </w:rPr>
                    <w:t>04/11/2010</w:t>
                  </w:r>
                </w:p>
              </w:tc>
            </w:tr>
            <w:tr w:rsidR="00967792" w:rsidRPr="00A61288" w14:paraId="223EFD1D" w14:textId="77777777" w:rsidTr="00070ACF">
              <w:trPr>
                <w:jc w:val="center"/>
              </w:trPr>
              <w:tc>
                <w:tcPr>
                  <w:tcW w:w="3441" w:type="dxa"/>
                  <w:tcBorders>
                    <w:top w:val="single" w:sz="4" w:space="0" w:color="auto"/>
                    <w:left w:val="single" w:sz="4" w:space="0" w:color="auto"/>
                    <w:bottom w:val="single" w:sz="4" w:space="0" w:color="auto"/>
                    <w:right w:val="single" w:sz="4" w:space="0" w:color="auto"/>
                  </w:tcBorders>
                  <w:hideMark/>
                </w:tcPr>
                <w:p w14:paraId="08EB0C25" w14:textId="77777777" w:rsidR="00967792" w:rsidRPr="00612BF6" w:rsidRDefault="00967792" w:rsidP="00612BF6">
                  <w:pPr>
                    <w:spacing w:before="20" w:after="20"/>
                    <w:rPr>
                      <w:sz w:val="20"/>
                      <w:szCs w:val="20"/>
                      <w:lang w:val="es-ES"/>
                    </w:rPr>
                  </w:pPr>
                  <w:r w:rsidRPr="00612BF6">
                    <w:rPr>
                      <w:sz w:val="20"/>
                      <w:szCs w:val="20"/>
                      <w:lang w:val="es-ES"/>
                    </w:rPr>
                    <w:t>Nombre del haz de satélite</w:t>
                  </w:r>
                </w:p>
              </w:tc>
              <w:tc>
                <w:tcPr>
                  <w:tcW w:w="5199" w:type="dxa"/>
                  <w:gridSpan w:val="2"/>
                  <w:tcBorders>
                    <w:top w:val="single" w:sz="4" w:space="0" w:color="auto"/>
                    <w:left w:val="single" w:sz="4" w:space="0" w:color="auto"/>
                    <w:bottom w:val="single" w:sz="4" w:space="0" w:color="auto"/>
                    <w:right w:val="single" w:sz="4" w:space="0" w:color="auto"/>
                  </w:tcBorders>
                  <w:hideMark/>
                </w:tcPr>
                <w:p w14:paraId="3C3D99B8" w14:textId="77777777" w:rsidR="00967792" w:rsidRPr="00612BF6" w:rsidRDefault="00967792" w:rsidP="00612BF6">
                  <w:pPr>
                    <w:spacing w:before="20" w:after="20"/>
                    <w:rPr>
                      <w:sz w:val="20"/>
                      <w:szCs w:val="20"/>
                      <w:lang w:val="es-ES"/>
                    </w:rPr>
                  </w:pPr>
                  <w:r w:rsidRPr="00612BF6">
                    <w:rPr>
                      <w:sz w:val="20"/>
                      <w:szCs w:val="20"/>
                      <w:lang w:val="es-ES"/>
                    </w:rPr>
                    <w:t>E001</w:t>
                  </w:r>
                </w:p>
              </w:tc>
            </w:tr>
            <w:tr w:rsidR="00967792" w:rsidRPr="00A61288" w14:paraId="08C6DFA7" w14:textId="77777777" w:rsidTr="00070ACF">
              <w:trPr>
                <w:jc w:val="center"/>
              </w:trPr>
              <w:tc>
                <w:tcPr>
                  <w:tcW w:w="3441" w:type="dxa"/>
                  <w:tcBorders>
                    <w:top w:val="single" w:sz="4" w:space="0" w:color="auto"/>
                    <w:left w:val="single" w:sz="4" w:space="0" w:color="auto"/>
                    <w:bottom w:val="single" w:sz="4" w:space="0" w:color="auto"/>
                    <w:right w:val="single" w:sz="4" w:space="0" w:color="auto"/>
                  </w:tcBorders>
                  <w:hideMark/>
                </w:tcPr>
                <w:p w14:paraId="65811022" w14:textId="77777777" w:rsidR="00967792" w:rsidRPr="00612BF6" w:rsidRDefault="00967792" w:rsidP="00612BF6">
                  <w:pPr>
                    <w:spacing w:before="20" w:after="20"/>
                    <w:rPr>
                      <w:sz w:val="20"/>
                      <w:szCs w:val="20"/>
                      <w:lang w:val="es-ES"/>
                    </w:rPr>
                  </w:pPr>
                  <w:r w:rsidRPr="00612BF6">
                    <w:rPr>
                      <w:sz w:val="20"/>
                      <w:szCs w:val="20"/>
                      <w:lang w:val="es-ES"/>
                    </w:rPr>
                    <w:t>Tipo de haz</w:t>
                  </w:r>
                </w:p>
              </w:tc>
              <w:tc>
                <w:tcPr>
                  <w:tcW w:w="5199" w:type="dxa"/>
                  <w:gridSpan w:val="2"/>
                  <w:tcBorders>
                    <w:top w:val="single" w:sz="4" w:space="0" w:color="auto"/>
                    <w:left w:val="single" w:sz="4" w:space="0" w:color="auto"/>
                    <w:bottom w:val="single" w:sz="4" w:space="0" w:color="auto"/>
                    <w:right w:val="single" w:sz="4" w:space="0" w:color="auto"/>
                  </w:tcBorders>
                  <w:hideMark/>
                </w:tcPr>
                <w:p w14:paraId="2354D6F3" w14:textId="77777777" w:rsidR="00967792" w:rsidRPr="00612BF6" w:rsidRDefault="00967792" w:rsidP="00612BF6">
                  <w:pPr>
                    <w:spacing w:before="20" w:after="20"/>
                    <w:rPr>
                      <w:sz w:val="20"/>
                      <w:szCs w:val="20"/>
                      <w:lang w:val="es-ES"/>
                    </w:rPr>
                  </w:pPr>
                  <w:r w:rsidRPr="00612BF6">
                    <w:rPr>
                      <w:sz w:val="20"/>
                      <w:szCs w:val="20"/>
                      <w:lang w:val="es-ES"/>
                    </w:rPr>
                    <w:t>Conformado</w:t>
                  </w:r>
                </w:p>
              </w:tc>
            </w:tr>
            <w:tr w:rsidR="00967792" w:rsidRPr="00A61288" w14:paraId="16641D74" w14:textId="77777777" w:rsidTr="00070ACF">
              <w:trPr>
                <w:jc w:val="center"/>
              </w:trPr>
              <w:tc>
                <w:tcPr>
                  <w:tcW w:w="3441" w:type="dxa"/>
                  <w:tcBorders>
                    <w:top w:val="single" w:sz="4" w:space="0" w:color="auto"/>
                    <w:left w:val="single" w:sz="4" w:space="0" w:color="auto"/>
                    <w:bottom w:val="single" w:sz="4" w:space="0" w:color="auto"/>
                    <w:right w:val="single" w:sz="4" w:space="0" w:color="auto"/>
                  </w:tcBorders>
                  <w:hideMark/>
                </w:tcPr>
                <w:p w14:paraId="507EC60F" w14:textId="77777777" w:rsidR="00967792" w:rsidRPr="00612BF6" w:rsidRDefault="00967792" w:rsidP="00612BF6">
                  <w:pPr>
                    <w:spacing w:before="20" w:after="20"/>
                    <w:rPr>
                      <w:sz w:val="20"/>
                      <w:szCs w:val="20"/>
                      <w:lang w:val="es-ES"/>
                    </w:rPr>
                  </w:pPr>
                  <w:r w:rsidRPr="00612BF6">
                    <w:rPr>
                      <w:sz w:val="20"/>
                      <w:szCs w:val="20"/>
                      <w:lang w:val="es-ES"/>
                    </w:rPr>
                    <w:t>Máxima ganancia de antena copolar</w:t>
                  </w:r>
                </w:p>
              </w:tc>
              <w:tc>
                <w:tcPr>
                  <w:tcW w:w="2600" w:type="dxa"/>
                  <w:tcBorders>
                    <w:top w:val="single" w:sz="4" w:space="0" w:color="auto"/>
                    <w:left w:val="single" w:sz="4" w:space="0" w:color="auto"/>
                    <w:bottom w:val="single" w:sz="4" w:space="0" w:color="auto"/>
                    <w:right w:val="single" w:sz="4" w:space="0" w:color="auto"/>
                  </w:tcBorders>
                  <w:hideMark/>
                </w:tcPr>
                <w:p w14:paraId="2A8116BA" w14:textId="77777777" w:rsidR="00967792" w:rsidRPr="00612BF6" w:rsidRDefault="00967792" w:rsidP="00612BF6">
                  <w:pPr>
                    <w:spacing w:before="20" w:after="20"/>
                    <w:rPr>
                      <w:sz w:val="20"/>
                      <w:szCs w:val="20"/>
                      <w:lang w:val="es-ES"/>
                    </w:rPr>
                  </w:pPr>
                  <w:r w:rsidRPr="00612BF6">
                    <w:rPr>
                      <w:sz w:val="20"/>
                      <w:szCs w:val="20"/>
                      <w:lang w:val="es-ES"/>
                    </w:rPr>
                    <w:t>33,8 dBi</w:t>
                  </w:r>
                </w:p>
              </w:tc>
              <w:tc>
                <w:tcPr>
                  <w:tcW w:w="2599" w:type="dxa"/>
                  <w:tcBorders>
                    <w:top w:val="single" w:sz="4" w:space="0" w:color="auto"/>
                    <w:left w:val="single" w:sz="4" w:space="0" w:color="auto"/>
                    <w:bottom w:val="single" w:sz="4" w:space="0" w:color="auto"/>
                    <w:right w:val="single" w:sz="4" w:space="0" w:color="auto"/>
                  </w:tcBorders>
                  <w:hideMark/>
                </w:tcPr>
                <w:p w14:paraId="355198EA" w14:textId="77777777" w:rsidR="00967792" w:rsidRPr="00612BF6" w:rsidRDefault="00967792" w:rsidP="00612BF6">
                  <w:pPr>
                    <w:spacing w:before="20" w:after="20"/>
                    <w:rPr>
                      <w:sz w:val="20"/>
                      <w:szCs w:val="20"/>
                      <w:lang w:val="es-ES"/>
                    </w:rPr>
                  </w:pPr>
                  <w:r w:rsidRPr="00612BF6">
                    <w:rPr>
                      <w:sz w:val="20"/>
                      <w:szCs w:val="20"/>
                      <w:lang w:val="es-ES"/>
                    </w:rPr>
                    <w:t>36,5 dBi</w:t>
                  </w:r>
                </w:p>
              </w:tc>
            </w:tr>
            <w:tr w:rsidR="00967792" w:rsidRPr="00A61288" w14:paraId="747D7E4A" w14:textId="77777777" w:rsidTr="00070ACF">
              <w:trPr>
                <w:jc w:val="center"/>
              </w:trPr>
              <w:tc>
                <w:tcPr>
                  <w:tcW w:w="3441" w:type="dxa"/>
                  <w:tcBorders>
                    <w:top w:val="single" w:sz="4" w:space="0" w:color="auto"/>
                    <w:left w:val="single" w:sz="4" w:space="0" w:color="auto"/>
                    <w:bottom w:val="single" w:sz="4" w:space="0" w:color="auto"/>
                    <w:right w:val="single" w:sz="4" w:space="0" w:color="auto"/>
                  </w:tcBorders>
                  <w:hideMark/>
                </w:tcPr>
                <w:p w14:paraId="19CAB9D1" w14:textId="77777777" w:rsidR="00967792" w:rsidRPr="00612BF6" w:rsidRDefault="00967792" w:rsidP="00612BF6">
                  <w:pPr>
                    <w:spacing w:before="20" w:after="20"/>
                    <w:rPr>
                      <w:sz w:val="20"/>
                      <w:szCs w:val="20"/>
                      <w:lang w:val="es-ES"/>
                    </w:rPr>
                  </w:pPr>
                  <w:r w:rsidRPr="00612BF6">
                    <w:rPr>
                      <w:sz w:val="20"/>
                      <w:szCs w:val="20"/>
                      <w:lang w:val="es-ES"/>
                    </w:rPr>
                    <w:t>Máxima ganancia de antena con polarización cruzada</w:t>
                  </w:r>
                </w:p>
              </w:tc>
              <w:tc>
                <w:tcPr>
                  <w:tcW w:w="2600" w:type="dxa"/>
                  <w:tcBorders>
                    <w:top w:val="single" w:sz="4" w:space="0" w:color="auto"/>
                    <w:left w:val="single" w:sz="4" w:space="0" w:color="auto"/>
                    <w:bottom w:val="single" w:sz="4" w:space="0" w:color="auto"/>
                    <w:right w:val="single" w:sz="4" w:space="0" w:color="auto"/>
                  </w:tcBorders>
                  <w:hideMark/>
                </w:tcPr>
                <w:p w14:paraId="11475621" w14:textId="77777777" w:rsidR="00967792" w:rsidRPr="00612BF6" w:rsidRDefault="00967792" w:rsidP="00612BF6">
                  <w:pPr>
                    <w:spacing w:before="20" w:after="20"/>
                    <w:rPr>
                      <w:sz w:val="20"/>
                      <w:szCs w:val="20"/>
                      <w:lang w:val="es-ES"/>
                    </w:rPr>
                  </w:pPr>
                  <w:r w:rsidRPr="00612BF6">
                    <w:rPr>
                      <w:sz w:val="20"/>
                      <w:szCs w:val="20"/>
                      <w:lang w:val="es-ES"/>
                    </w:rPr>
                    <w:t>–2 dBi</w:t>
                  </w:r>
                </w:p>
              </w:tc>
              <w:tc>
                <w:tcPr>
                  <w:tcW w:w="2599" w:type="dxa"/>
                  <w:tcBorders>
                    <w:top w:val="single" w:sz="4" w:space="0" w:color="auto"/>
                    <w:left w:val="single" w:sz="4" w:space="0" w:color="auto"/>
                    <w:bottom w:val="single" w:sz="4" w:space="0" w:color="auto"/>
                    <w:right w:val="single" w:sz="4" w:space="0" w:color="auto"/>
                  </w:tcBorders>
                  <w:hideMark/>
                </w:tcPr>
                <w:p w14:paraId="78BFE33C" w14:textId="77777777" w:rsidR="00967792" w:rsidRPr="00612BF6" w:rsidRDefault="00967792" w:rsidP="00612BF6">
                  <w:pPr>
                    <w:spacing w:before="20" w:after="20"/>
                    <w:rPr>
                      <w:sz w:val="20"/>
                      <w:szCs w:val="20"/>
                      <w:lang w:val="es-ES"/>
                    </w:rPr>
                  </w:pPr>
                  <w:r w:rsidRPr="00612BF6">
                    <w:rPr>
                      <w:sz w:val="20"/>
                      <w:szCs w:val="20"/>
                      <w:lang w:val="es-ES"/>
                    </w:rPr>
                    <w:t>0 dBi</w:t>
                  </w:r>
                </w:p>
              </w:tc>
            </w:tr>
            <w:tr w:rsidR="00967792" w:rsidRPr="00A61288" w14:paraId="1648A782" w14:textId="77777777" w:rsidTr="00070ACF">
              <w:trPr>
                <w:jc w:val="center"/>
              </w:trPr>
              <w:tc>
                <w:tcPr>
                  <w:tcW w:w="3441" w:type="dxa"/>
                  <w:tcBorders>
                    <w:top w:val="single" w:sz="4" w:space="0" w:color="auto"/>
                    <w:left w:val="single" w:sz="4" w:space="0" w:color="auto"/>
                    <w:bottom w:val="single" w:sz="4" w:space="0" w:color="auto"/>
                    <w:right w:val="single" w:sz="4" w:space="0" w:color="auto"/>
                  </w:tcBorders>
                  <w:hideMark/>
                </w:tcPr>
                <w:p w14:paraId="0D62C2B7" w14:textId="77777777" w:rsidR="00967792" w:rsidRPr="00612BF6" w:rsidRDefault="00967792" w:rsidP="00612BF6">
                  <w:pPr>
                    <w:spacing w:before="20" w:after="20"/>
                    <w:rPr>
                      <w:sz w:val="20"/>
                      <w:szCs w:val="20"/>
                      <w:lang w:val="es-ES"/>
                    </w:rPr>
                  </w:pPr>
                  <w:r w:rsidRPr="00612BF6">
                    <w:rPr>
                      <w:sz w:val="20"/>
                      <w:szCs w:val="20"/>
                      <w:lang w:val="es-ES"/>
                    </w:rPr>
                    <w:t>Contornos de ganancia de antena copolar y con polarización cruzada</w:t>
                  </w:r>
                </w:p>
              </w:tc>
              <w:tc>
                <w:tcPr>
                  <w:tcW w:w="5199" w:type="dxa"/>
                  <w:gridSpan w:val="2"/>
                  <w:tcBorders>
                    <w:top w:val="single" w:sz="4" w:space="0" w:color="auto"/>
                    <w:left w:val="single" w:sz="4" w:space="0" w:color="auto"/>
                    <w:bottom w:val="single" w:sz="4" w:space="0" w:color="auto"/>
                    <w:right w:val="single" w:sz="4" w:space="0" w:color="auto"/>
                  </w:tcBorders>
                  <w:hideMark/>
                </w:tcPr>
                <w:p w14:paraId="20D49444" w14:textId="77777777" w:rsidR="00967792" w:rsidRPr="00612BF6" w:rsidRDefault="00967792" w:rsidP="00612BF6">
                  <w:pPr>
                    <w:spacing w:before="20" w:after="20"/>
                    <w:rPr>
                      <w:sz w:val="20"/>
                      <w:szCs w:val="20"/>
                      <w:lang w:val="es-ES"/>
                    </w:rPr>
                  </w:pPr>
                  <w:r w:rsidRPr="00612BF6">
                    <w:rPr>
                      <w:sz w:val="20"/>
                      <w:szCs w:val="20"/>
                      <w:lang w:val="es-ES"/>
                    </w:rPr>
                    <w:t>Correspondientes al haz de enlace descendente CEED y</w:t>
                  </w:r>
                  <w:r w:rsidRPr="00612BF6">
                    <w:rPr>
                      <w:sz w:val="20"/>
                      <w:szCs w:val="20"/>
                      <w:lang w:val="es-ES"/>
                    </w:rPr>
                    <w:br/>
                    <w:t>el haz de enlace de conexión CER de la red de satélites BULSAT</w:t>
                  </w:r>
                  <w:r w:rsidRPr="00612BF6">
                    <w:rPr>
                      <w:sz w:val="20"/>
                      <w:szCs w:val="20"/>
                      <w:lang w:val="es-ES"/>
                    </w:rPr>
                    <w:noBreakHyphen/>
                    <w:t>BSS-1.2W-W del Cuadro 2 siguiente</w:t>
                  </w:r>
                </w:p>
              </w:tc>
            </w:tr>
            <w:tr w:rsidR="00967792" w:rsidRPr="00A61288" w14:paraId="3137A2AD" w14:textId="77777777" w:rsidTr="00070ACF">
              <w:trPr>
                <w:jc w:val="center"/>
              </w:trPr>
              <w:tc>
                <w:tcPr>
                  <w:tcW w:w="3441" w:type="dxa"/>
                  <w:tcBorders>
                    <w:top w:val="single" w:sz="4" w:space="0" w:color="auto"/>
                    <w:left w:val="single" w:sz="4" w:space="0" w:color="auto"/>
                    <w:bottom w:val="single" w:sz="4" w:space="0" w:color="auto"/>
                    <w:right w:val="single" w:sz="4" w:space="0" w:color="auto"/>
                  </w:tcBorders>
                  <w:hideMark/>
                </w:tcPr>
                <w:p w14:paraId="7C4EDF8B" w14:textId="77777777" w:rsidR="00967792" w:rsidRPr="00612BF6" w:rsidRDefault="00967792" w:rsidP="00612BF6">
                  <w:pPr>
                    <w:spacing w:before="20" w:after="20"/>
                    <w:rPr>
                      <w:sz w:val="20"/>
                      <w:szCs w:val="20"/>
                      <w:lang w:val="es-ES"/>
                    </w:rPr>
                  </w:pPr>
                  <w:r w:rsidRPr="00612BF6">
                    <w:rPr>
                      <w:sz w:val="20"/>
                      <w:szCs w:val="20"/>
                      <w:lang w:val="es-ES"/>
                    </w:rPr>
                    <w:t>Eje de puntería</w:t>
                  </w:r>
                </w:p>
              </w:tc>
              <w:tc>
                <w:tcPr>
                  <w:tcW w:w="5199" w:type="dxa"/>
                  <w:gridSpan w:val="2"/>
                  <w:tcBorders>
                    <w:top w:val="single" w:sz="4" w:space="0" w:color="auto"/>
                    <w:left w:val="single" w:sz="4" w:space="0" w:color="auto"/>
                    <w:bottom w:val="single" w:sz="4" w:space="0" w:color="auto"/>
                    <w:right w:val="single" w:sz="4" w:space="0" w:color="auto"/>
                  </w:tcBorders>
                  <w:hideMark/>
                </w:tcPr>
                <w:p w14:paraId="78E2D5F9" w14:textId="77777777" w:rsidR="00967792" w:rsidRPr="00612BF6" w:rsidRDefault="00967792" w:rsidP="00612BF6">
                  <w:pPr>
                    <w:spacing w:before="20" w:after="20"/>
                    <w:rPr>
                      <w:sz w:val="20"/>
                      <w:szCs w:val="20"/>
                      <w:lang w:val="es-ES"/>
                    </w:rPr>
                  </w:pPr>
                  <w:r w:rsidRPr="00612BF6">
                    <w:rPr>
                      <w:sz w:val="20"/>
                      <w:szCs w:val="20"/>
                      <w:lang w:val="es-ES"/>
                    </w:rPr>
                    <w:t>Idéntico al de los datos GIMS</w:t>
                  </w:r>
                </w:p>
              </w:tc>
            </w:tr>
            <w:tr w:rsidR="00967792" w:rsidRPr="00A61288" w14:paraId="04027D3E" w14:textId="77777777" w:rsidTr="00070ACF">
              <w:trPr>
                <w:jc w:val="center"/>
              </w:trPr>
              <w:tc>
                <w:tcPr>
                  <w:tcW w:w="3441" w:type="dxa"/>
                  <w:tcBorders>
                    <w:top w:val="single" w:sz="4" w:space="0" w:color="auto"/>
                    <w:left w:val="single" w:sz="4" w:space="0" w:color="auto"/>
                    <w:bottom w:val="single" w:sz="4" w:space="0" w:color="auto"/>
                    <w:right w:val="single" w:sz="4" w:space="0" w:color="auto"/>
                  </w:tcBorders>
                  <w:hideMark/>
                </w:tcPr>
                <w:p w14:paraId="3E688C02" w14:textId="77777777" w:rsidR="00967792" w:rsidRPr="00612BF6" w:rsidRDefault="00967792" w:rsidP="00612BF6">
                  <w:pPr>
                    <w:spacing w:before="20" w:after="20"/>
                    <w:rPr>
                      <w:sz w:val="20"/>
                      <w:szCs w:val="20"/>
                      <w:lang w:val="es-ES"/>
                    </w:rPr>
                  </w:pPr>
                  <w:r w:rsidRPr="00612BF6">
                    <w:rPr>
                      <w:sz w:val="20"/>
                      <w:szCs w:val="20"/>
                      <w:lang w:val="es-ES"/>
                    </w:rPr>
                    <w:t>Zona de servicio</w:t>
                  </w:r>
                </w:p>
              </w:tc>
              <w:tc>
                <w:tcPr>
                  <w:tcW w:w="5199" w:type="dxa"/>
                  <w:gridSpan w:val="2"/>
                  <w:tcBorders>
                    <w:top w:val="single" w:sz="4" w:space="0" w:color="auto"/>
                    <w:left w:val="single" w:sz="4" w:space="0" w:color="auto"/>
                    <w:bottom w:val="single" w:sz="4" w:space="0" w:color="auto"/>
                    <w:right w:val="single" w:sz="4" w:space="0" w:color="auto"/>
                  </w:tcBorders>
                  <w:hideMark/>
                </w:tcPr>
                <w:p w14:paraId="4BCFF54E" w14:textId="77777777" w:rsidR="00967792" w:rsidRPr="00612BF6" w:rsidRDefault="00967792" w:rsidP="00612BF6">
                  <w:pPr>
                    <w:spacing w:before="20" w:after="20"/>
                    <w:rPr>
                      <w:sz w:val="20"/>
                      <w:szCs w:val="20"/>
                      <w:lang w:val="es-ES"/>
                    </w:rPr>
                  </w:pPr>
                  <w:r w:rsidRPr="00612BF6">
                    <w:rPr>
                      <w:sz w:val="20"/>
                      <w:szCs w:val="20"/>
                      <w:lang w:val="es-ES"/>
                    </w:rPr>
                    <w:t>Territorio nacional definido como «BUL»</w:t>
                  </w:r>
                  <w:r w:rsidRPr="00612BF6">
                    <w:rPr>
                      <w:sz w:val="20"/>
                      <w:szCs w:val="20"/>
                      <w:lang w:val="es-ES"/>
                    </w:rPr>
                    <w:br/>
                    <w:t xml:space="preserve">en la aplicación de </w:t>
                  </w:r>
                  <w:r w:rsidRPr="00612BF6">
                    <w:rPr>
                      <w:i/>
                      <w:iCs/>
                      <w:sz w:val="20"/>
                      <w:szCs w:val="20"/>
                      <w:lang w:val="es-ES"/>
                    </w:rPr>
                    <w:t>software</w:t>
                  </w:r>
                  <w:r w:rsidRPr="00612BF6">
                    <w:rPr>
                      <w:sz w:val="20"/>
                      <w:szCs w:val="20"/>
                      <w:lang w:val="es-ES"/>
                    </w:rPr>
                    <w:t xml:space="preserve"> GIMS</w:t>
                  </w:r>
                </w:p>
              </w:tc>
            </w:tr>
            <w:tr w:rsidR="00967792" w:rsidRPr="00A61288" w14:paraId="5F24A17E" w14:textId="77777777" w:rsidTr="00070ACF">
              <w:trPr>
                <w:jc w:val="center"/>
              </w:trPr>
              <w:tc>
                <w:tcPr>
                  <w:tcW w:w="3441" w:type="dxa"/>
                  <w:tcBorders>
                    <w:top w:val="single" w:sz="4" w:space="0" w:color="auto"/>
                    <w:left w:val="single" w:sz="4" w:space="0" w:color="auto"/>
                    <w:bottom w:val="single" w:sz="4" w:space="0" w:color="auto"/>
                    <w:right w:val="single" w:sz="4" w:space="0" w:color="auto"/>
                  </w:tcBorders>
                  <w:hideMark/>
                </w:tcPr>
                <w:p w14:paraId="6E8B6712" w14:textId="77777777" w:rsidR="00967792" w:rsidRPr="00612BF6" w:rsidRDefault="00967792" w:rsidP="00612BF6">
                  <w:pPr>
                    <w:spacing w:before="20" w:after="20"/>
                    <w:rPr>
                      <w:sz w:val="20"/>
                      <w:szCs w:val="20"/>
                      <w:lang w:val="es-ES"/>
                    </w:rPr>
                  </w:pPr>
                  <w:r w:rsidRPr="00612BF6">
                    <w:rPr>
                      <w:sz w:val="20"/>
                      <w:szCs w:val="20"/>
                      <w:lang w:val="es-ES"/>
                    </w:rPr>
                    <w:t>Puntos de prueba</w:t>
                  </w:r>
                </w:p>
              </w:tc>
              <w:tc>
                <w:tcPr>
                  <w:tcW w:w="5199" w:type="dxa"/>
                  <w:gridSpan w:val="2"/>
                  <w:tcBorders>
                    <w:top w:val="single" w:sz="4" w:space="0" w:color="auto"/>
                    <w:left w:val="single" w:sz="4" w:space="0" w:color="auto"/>
                    <w:bottom w:val="single" w:sz="4" w:space="0" w:color="auto"/>
                    <w:right w:val="single" w:sz="4" w:space="0" w:color="auto"/>
                  </w:tcBorders>
                  <w:hideMark/>
                </w:tcPr>
                <w:tbl>
                  <w:tblPr>
                    <w:tblW w:w="2595" w:type="dxa"/>
                    <w:jc w:val="center"/>
                    <w:tblLayout w:type="fixed"/>
                    <w:tblLook w:val="04A0" w:firstRow="1" w:lastRow="0" w:firstColumn="1" w:lastColumn="0" w:noHBand="0" w:noVBand="1"/>
                  </w:tblPr>
                  <w:tblGrid>
                    <w:gridCol w:w="1298"/>
                    <w:gridCol w:w="1297"/>
                  </w:tblGrid>
                  <w:tr w:rsidR="00967792" w:rsidRPr="00612BF6" w14:paraId="4FAD6EBF" w14:textId="77777777" w:rsidTr="00BC06EB">
                    <w:trPr>
                      <w:trHeight w:val="300"/>
                      <w:jc w:val="center"/>
                    </w:trPr>
                    <w:tc>
                      <w:tcPr>
                        <w:tcW w:w="1300" w:type="dxa"/>
                        <w:noWrap/>
                        <w:vAlign w:val="bottom"/>
                        <w:hideMark/>
                      </w:tcPr>
                      <w:p w14:paraId="74FE1C8A" w14:textId="77777777" w:rsidR="00967792" w:rsidRPr="00612BF6" w:rsidRDefault="00967792" w:rsidP="00612BF6">
                        <w:pPr>
                          <w:spacing w:before="20" w:after="20"/>
                          <w:rPr>
                            <w:rFonts w:eastAsiaTheme="minorEastAsia" w:cstheme="minorBidi"/>
                            <w:sz w:val="20"/>
                            <w:lang w:val="es-ES"/>
                          </w:rPr>
                        </w:pPr>
                        <w:r w:rsidRPr="00612BF6">
                          <w:rPr>
                            <w:rFonts w:eastAsiaTheme="minorEastAsia" w:cstheme="minorBidi"/>
                            <w:sz w:val="20"/>
                            <w:lang w:val="es-ES"/>
                          </w:rPr>
                          <w:t>Longitud (grados E)</w:t>
                        </w:r>
                      </w:p>
                    </w:tc>
                    <w:tc>
                      <w:tcPr>
                        <w:tcW w:w="1300" w:type="dxa"/>
                        <w:noWrap/>
                        <w:vAlign w:val="bottom"/>
                        <w:hideMark/>
                      </w:tcPr>
                      <w:p w14:paraId="5399D5D7" w14:textId="77777777" w:rsidR="00967792" w:rsidRPr="00612BF6" w:rsidRDefault="00967792" w:rsidP="00612BF6">
                        <w:pPr>
                          <w:spacing w:before="20" w:after="20"/>
                          <w:rPr>
                            <w:rFonts w:eastAsiaTheme="minorEastAsia" w:cstheme="minorBidi"/>
                            <w:sz w:val="20"/>
                            <w:lang w:val="es-ES"/>
                          </w:rPr>
                        </w:pPr>
                        <w:r w:rsidRPr="00612BF6">
                          <w:rPr>
                            <w:rFonts w:eastAsiaTheme="minorEastAsia" w:cstheme="minorBidi"/>
                            <w:sz w:val="20"/>
                            <w:lang w:val="es-ES"/>
                          </w:rPr>
                          <w:t>Latitud (grados N)</w:t>
                        </w:r>
                      </w:p>
                    </w:tc>
                  </w:tr>
                  <w:tr w:rsidR="00967792" w:rsidRPr="00612BF6" w14:paraId="4321FEF9" w14:textId="77777777" w:rsidTr="00BC06EB">
                    <w:trPr>
                      <w:trHeight w:val="300"/>
                      <w:jc w:val="center"/>
                    </w:trPr>
                    <w:tc>
                      <w:tcPr>
                        <w:tcW w:w="1300" w:type="dxa"/>
                        <w:noWrap/>
                        <w:vAlign w:val="bottom"/>
                        <w:hideMark/>
                      </w:tcPr>
                      <w:p w14:paraId="4B7E86D4" w14:textId="77777777" w:rsidR="00967792" w:rsidRPr="00612BF6" w:rsidRDefault="00967792" w:rsidP="00612BF6">
                        <w:pPr>
                          <w:spacing w:before="20" w:after="20"/>
                          <w:rPr>
                            <w:rFonts w:eastAsiaTheme="minorEastAsia" w:cstheme="minorBidi"/>
                            <w:sz w:val="20"/>
                            <w:lang w:val="es-ES"/>
                          </w:rPr>
                        </w:pPr>
                        <w:r w:rsidRPr="00612BF6">
                          <w:rPr>
                            <w:rFonts w:eastAsiaTheme="minorEastAsia" w:cstheme="minorBidi"/>
                            <w:sz w:val="20"/>
                            <w:lang w:val="es-ES"/>
                          </w:rPr>
                          <w:t>27,91</w:t>
                        </w:r>
                      </w:p>
                    </w:tc>
                    <w:tc>
                      <w:tcPr>
                        <w:tcW w:w="1300" w:type="dxa"/>
                        <w:noWrap/>
                        <w:vAlign w:val="bottom"/>
                        <w:hideMark/>
                      </w:tcPr>
                      <w:p w14:paraId="50074D01" w14:textId="77777777" w:rsidR="00967792" w:rsidRPr="00612BF6" w:rsidRDefault="00967792" w:rsidP="00612BF6">
                        <w:pPr>
                          <w:spacing w:before="20" w:after="20"/>
                          <w:rPr>
                            <w:rFonts w:eastAsiaTheme="minorEastAsia" w:cstheme="minorBidi"/>
                            <w:sz w:val="20"/>
                            <w:lang w:val="es-ES"/>
                          </w:rPr>
                        </w:pPr>
                        <w:r w:rsidRPr="00612BF6">
                          <w:rPr>
                            <w:rFonts w:eastAsiaTheme="minorEastAsia" w:cstheme="minorBidi"/>
                            <w:sz w:val="20"/>
                            <w:lang w:val="es-ES"/>
                          </w:rPr>
                          <w:t>42,06</w:t>
                        </w:r>
                      </w:p>
                    </w:tc>
                  </w:tr>
                  <w:tr w:rsidR="00967792" w:rsidRPr="00612BF6" w14:paraId="0457D93C" w14:textId="77777777" w:rsidTr="00BC06EB">
                    <w:trPr>
                      <w:trHeight w:val="300"/>
                      <w:jc w:val="center"/>
                    </w:trPr>
                    <w:tc>
                      <w:tcPr>
                        <w:tcW w:w="1300" w:type="dxa"/>
                        <w:noWrap/>
                        <w:vAlign w:val="bottom"/>
                        <w:hideMark/>
                      </w:tcPr>
                      <w:p w14:paraId="0A3F679C" w14:textId="77777777" w:rsidR="00967792" w:rsidRPr="00612BF6" w:rsidRDefault="00967792" w:rsidP="00612BF6">
                        <w:pPr>
                          <w:spacing w:before="20" w:after="20"/>
                          <w:rPr>
                            <w:rFonts w:eastAsiaTheme="minorEastAsia" w:cstheme="minorBidi"/>
                            <w:sz w:val="20"/>
                            <w:lang w:val="es-ES"/>
                          </w:rPr>
                        </w:pPr>
                        <w:r w:rsidRPr="00612BF6">
                          <w:rPr>
                            <w:rFonts w:eastAsiaTheme="minorEastAsia" w:cstheme="minorBidi"/>
                            <w:sz w:val="20"/>
                            <w:lang w:val="es-ES"/>
                          </w:rPr>
                          <w:t>28,47</w:t>
                        </w:r>
                      </w:p>
                    </w:tc>
                    <w:tc>
                      <w:tcPr>
                        <w:tcW w:w="1300" w:type="dxa"/>
                        <w:noWrap/>
                        <w:vAlign w:val="bottom"/>
                        <w:hideMark/>
                      </w:tcPr>
                      <w:p w14:paraId="3D767449" w14:textId="77777777" w:rsidR="00967792" w:rsidRPr="00612BF6" w:rsidRDefault="00967792" w:rsidP="00612BF6">
                        <w:pPr>
                          <w:spacing w:before="20" w:after="20"/>
                          <w:rPr>
                            <w:rFonts w:eastAsiaTheme="minorEastAsia" w:cstheme="minorBidi"/>
                            <w:sz w:val="20"/>
                            <w:lang w:val="es-ES"/>
                          </w:rPr>
                        </w:pPr>
                        <w:r w:rsidRPr="00612BF6">
                          <w:rPr>
                            <w:rFonts w:eastAsiaTheme="minorEastAsia" w:cstheme="minorBidi"/>
                            <w:sz w:val="20"/>
                            <w:lang w:val="es-ES"/>
                          </w:rPr>
                          <w:t>43,70</w:t>
                        </w:r>
                      </w:p>
                    </w:tc>
                  </w:tr>
                  <w:tr w:rsidR="00967792" w:rsidRPr="00612BF6" w14:paraId="41E06A38" w14:textId="77777777" w:rsidTr="00BC06EB">
                    <w:trPr>
                      <w:trHeight w:val="300"/>
                      <w:jc w:val="center"/>
                    </w:trPr>
                    <w:tc>
                      <w:tcPr>
                        <w:tcW w:w="1300" w:type="dxa"/>
                        <w:noWrap/>
                        <w:vAlign w:val="bottom"/>
                        <w:hideMark/>
                      </w:tcPr>
                      <w:p w14:paraId="39357590" w14:textId="77777777" w:rsidR="00967792" w:rsidRPr="00612BF6" w:rsidRDefault="00967792" w:rsidP="00612BF6">
                        <w:pPr>
                          <w:spacing w:before="20" w:after="20"/>
                          <w:rPr>
                            <w:rFonts w:eastAsiaTheme="minorEastAsia" w:cstheme="minorBidi"/>
                            <w:sz w:val="20"/>
                            <w:lang w:val="es-ES"/>
                          </w:rPr>
                        </w:pPr>
                        <w:r w:rsidRPr="00612BF6">
                          <w:rPr>
                            <w:rFonts w:eastAsiaTheme="minorEastAsia" w:cstheme="minorBidi"/>
                            <w:sz w:val="20"/>
                            <w:lang w:val="es-ES"/>
                          </w:rPr>
                          <w:t>25,28</w:t>
                        </w:r>
                      </w:p>
                    </w:tc>
                    <w:tc>
                      <w:tcPr>
                        <w:tcW w:w="1300" w:type="dxa"/>
                        <w:noWrap/>
                        <w:vAlign w:val="bottom"/>
                        <w:hideMark/>
                      </w:tcPr>
                      <w:p w14:paraId="52EBF9F1" w14:textId="77777777" w:rsidR="00967792" w:rsidRPr="00612BF6" w:rsidRDefault="00967792" w:rsidP="00612BF6">
                        <w:pPr>
                          <w:spacing w:before="20" w:after="20"/>
                          <w:rPr>
                            <w:rFonts w:eastAsiaTheme="minorEastAsia" w:cstheme="minorBidi"/>
                            <w:sz w:val="20"/>
                            <w:lang w:val="es-ES"/>
                          </w:rPr>
                        </w:pPr>
                        <w:r w:rsidRPr="00612BF6">
                          <w:rPr>
                            <w:rFonts w:eastAsiaTheme="minorEastAsia" w:cstheme="minorBidi"/>
                            <w:sz w:val="20"/>
                            <w:lang w:val="es-ES"/>
                          </w:rPr>
                          <w:t>41,35</w:t>
                        </w:r>
                      </w:p>
                    </w:tc>
                  </w:tr>
                  <w:tr w:rsidR="00967792" w:rsidRPr="00612BF6" w14:paraId="1B0463AD" w14:textId="77777777" w:rsidTr="00BC06EB">
                    <w:trPr>
                      <w:trHeight w:val="300"/>
                      <w:jc w:val="center"/>
                    </w:trPr>
                    <w:tc>
                      <w:tcPr>
                        <w:tcW w:w="1300" w:type="dxa"/>
                        <w:noWrap/>
                        <w:vAlign w:val="bottom"/>
                        <w:hideMark/>
                      </w:tcPr>
                      <w:p w14:paraId="5957ADC0" w14:textId="77777777" w:rsidR="00967792" w:rsidRPr="00612BF6" w:rsidRDefault="00967792" w:rsidP="00612BF6">
                        <w:pPr>
                          <w:spacing w:before="20" w:after="20"/>
                          <w:rPr>
                            <w:rFonts w:eastAsiaTheme="minorEastAsia" w:cstheme="minorBidi"/>
                            <w:sz w:val="20"/>
                            <w:lang w:val="es-ES"/>
                          </w:rPr>
                        </w:pPr>
                        <w:r w:rsidRPr="00612BF6">
                          <w:rPr>
                            <w:rFonts w:eastAsiaTheme="minorEastAsia" w:cstheme="minorBidi"/>
                            <w:sz w:val="20"/>
                            <w:lang w:val="es-ES"/>
                          </w:rPr>
                          <w:t>22,40</w:t>
                        </w:r>
                      </w:p>
                    </w:tc>
                    <w:tc>
                      <w:tcPr>
                        <w:tcW w:w="1300" w:type="dxa"/>
                        <w:noWrap/>
                        <w:vAlign w:val="bottom"/>
                        <w:hideMark/>
                      </w:tcPr>
                      <w:p w14:paraId="13B17C90" w14:textId="77777777" w:rsidR="00967792" w:rsidRPr="00612BF6" w:rsidRDefault="00967792" w:rsidP="00612BF6">
                        <w:pPr>
                          <w:spacing w:before="20" w:after="20"/>
                          <w:rPr>
                            <w:rFonts w:eastAsiaTheme="minorEastAsia" w:cstheme="minorBidi"/>
                            <w:sz w:val="20"/>
                            <w:lang w:val="es-ES"/>
                          </w:rPr>
                        </w:pPr>
                        <w:r w:rsidRPr="00612BF6">
                          <w:rPr>
                            <w:rFonts w:eastAsiaTheme="minorEastAsia" w:cstheme="minorBidi"/>
                            <w:sz w:val="20"/>
                            <w:lang w:val="es-ES"/>
                          </w:rPr>
                          <w:t>42,30</w:t>
                        </w:r>
                      </w:p>
                    </w:tc>
                  </w:tr>
                  <w:tr w:rsidR="00967792" w:rsidRPr="00612BF6" w14:paraId="01691989" w14:textId="77777777" w:rsidTr="00BC06EB">
                    <w:trPr>
                      <w:trHeight w:val="300"/>
                      <w:jc w:val="center"/>
                    </w:trPr>
                    <w:tc>
                      <w:tcPr>
                        <w:tcW w:w="1300" w:type="dxa"/>
                        <w:noWrap/>
                        <w:vAlign w:val="bottom"/>
                        <w:hideMark/>
                      </w:tcPr>
                      <w:p w14:paraId="1270A2A4" w14:textId="77777777" w:rsidR="00967792" w:rsidRPr="00612BF6" w:rsidRDefault="00967792" w:rsidP="00612BF6">
                        <w:pPr>
                          <w:spacing w:before="20" w:after="20"/>
                          <w:rPr>
                            <w:rFonts w:eastAsiaTheme="minorEastAsia" w:cstheme="minorBidi"/>
                            <w:sz w:val="20"/>
                            <w:lang w:val="es-ES"/>
                          </w:rPr>
                        </w:pPr>
                        <w:r w:rsidRPr="00612BF6">
                          <w:rPr>
                            <w:rFonts w:eastAsiaTheme="minorEastAsia" w:cstheme="minorBidi"/>
                            <w:sz w:val="20"/>
                            <w:lang w:val="es-ES"/>
                          </w:rPr>
                          <w:t>23,01</w:t>
                        </w:r>
                      </w:p>
                    </w:tc>
                    <w:tc>
                      <w:tcPr>
                        <w:tcW w:w="1300" w:type="dxa"/>
                        <w:noWrap/>
                        <w:vAlign w:val="bottom"/>
                        <w:hideMark/>
                      </w:tcPr>
                      <w:p w14:paraId="061C294D" w14:textId="77777777" w:rsidR="00967792" w:rsidRPr="00612BF6" w:rsidRDefault="00967792" w:rsidP="00612BF6">
                        <w:pPr>
                          <w:spacing w:before="20" w:after="20"/>
                          <w:rPr>
                            <w:rFonts w:eastAsiaTheme="minorEastAsia" w:cstheme="minorBidi"/>
                            <w:sz w:val="20"/>
                            <w:lang w:val="es-ES"/>
                          </w:rPr>
                        </w:pPr>
                        <w:r w:rsidRPr="00612BF6">
                          <w:rPr>
                            <w:rFonts w:eastAsiaTheme="minorEastAsia" w:cstheme="minorBidi"/>
                            <w:sz w:val="20"/>
                            <w:lang w:val="es-ES"/>
                          </w:rPr>
                          <w:t>41,44</w:t>
                        </w:r>
                      </w:p>
                    </w:tc>
                  </w:tr>
                  <w:tr w:rsidR="00967792" w:rsidRPr="00612BF6" w14:paraId="4074832E" w14:textId="77777777" w:rsidTr="00BC06EB">
                    <w:trPr>
                      <w:trHeight w:val="300"/>
                      <w:jc w:val="center"/>
                    </w:trPr>
                    <w:tc>
                      <w:tcPr>
                        <w:tcW w:w="1300" w:type="dxa"/>
                        <w:noWrap/>
                        <w:vAlign w:val="bottom"/>
                        <w:hideMark/>
                      </w:tcPr>
                      <w:p w14:paraId="380556D7" w14:textId="77777777" w:rsidR="00967792" w:rsidRPr="00612BF6" w:rsidRDefault="00967792" w:rsidP="00612BF6">
                        <w:pPr>
                          <w:spacing w:before="20" w:after="20"/>
                          <w:rPr>
                            <w:rFonts w:eastAsiaTheme="minorEastAsia" w:cstheme="minorBidi"/>
                            <w:sz w:val="20"/>
                            <w:lang w:val="es-ES"/>
                          </w:rPr>
                        </w:pPr>
                        <w:r w:rsidRPr="00612BF6">
                          <w:rPr>
                            <w:rFonts w:eastAsiaTheme="minorEastAsia" w:cstheme="minorBidi"/>
                            <w:sz w:val="20"/>
                            <w:lang w:val="es-ES"/>
                          </w:rPr>
                          <w:lastRenderedPageBreak/>
                          <w:t>22,69</w:t>
                        </w:r>
                      </w:p>
                    </w:tc>
                    <w:tc>
                      <w:tcPr>
                        <w:tcW w:w="1300" w:type="dxa"/>
                        <w:noWrap/>
                        <w:vAlign w:val="bottom"/>
                        <w:hideMark/>
                      </w:tcPr>
                      <w:p w14:paraId="3FE1472E" w14:textId="77777777" w:rsidR="00967792" w:rsidRPr="00612BF6" w:rsidRDefault="00967792" w:rsidP="00612BF6">
                        <w:pPr>
                          <w:spacing w:before="20" w:after="20"/>
                          <w:rPr>
                            <w:rFonts w:eastAsiaTheme="minorEastAsia" w:cstheme="minorBidi"/>
                            <w:sz w:val="20"/>
                            <w:lang w:val="es-ES"/>
                          </w:rPr>
                        </w:pPr>
                        <w:r w:rsidRPr="00612BF6">
                          <w:rPr>
                            <w:rFonts w:eastAsiaTheme="minorEastAsia" w:cstheme="minorBidi"/>
                            <w:sz w:val="20"/>
                            <w:lang w:val="es-ES"/>
                          </w:rPr>
                          <w:t>44,17</w:t>
                        </w:r>
                      </w:p>
                    </w:tc>
                  </w:tr>
                  <w:tr w:rsidR="00967792" w:rsidRPr="00612BF6" w14:paraId="06CA721F" w14:textId="77777777" w:rsidTr="00BC06EB">
                    <w:trPr>
                      <w:trHeight w:val="300"/>
                      <w:jc w:val="center"/>
                    </w:trPr>
                    <w:tc>
                      <w:tcPr>
                        <w:tcW w:w="1300" w:type="dxa"/>
                        <w:noWrap/>
                        <w:vAlign w:val="bottom"/>
                        <w:hideMark/>
                      </w:tcPr>
                      <w:p w14:paraId="50D962E3" w14:textId="77777777" w:rsidR="00967792" w:rsidRPr="00612BF6" w:rsidRDefault="00967792" w:rsidP="00612BF6">
                        <w:pPr>
                          <w:spacing w:before="20" w:after="20"/>
                          <w:rPr>
                            <w:rFonts w:eastAsiaTheme="minorEastAsia" w:cstheme="minorBidi"/>
                            <w:sz w:val="20"/>
                            <w:lang w:val="es-ES"/>
                          </w:rPr>
                        </w:pPr>
                      </w:p>
                    </w:tc>
                    <w:tc>
                      <w:tcPr>
                        <w:tcW w:w="1300" w:type="dxa"/>
                        <w:noWrap/>
                        <w:vAlign w:val="bottom"/>
                        <w:hideMark/>
                      </w:tcPr>
                      <w:p w14:paraId="3EB37CE0" w14:textId="77777777" w:rsidR="00967792" w:rsidRPr="00612BF6" w:rsidRDefault="00967792" w:rsidP="00612BF6">
                        <w:pPr>
                          <w:spacing w:before="20" w:after="20"/>
                          <w:rPr>
                            <w:rFonts w:eastAsiaTheme="minorEastAsia" w:cstheme="minorBidi"/>
                            <w:sz w:val="20"/>
                            <w:lang w:val="es-ES"/>
                          </w:rPr>
                        </w:pPr>
                      </w:p>
                    </w:tc>
                  </w:tr>
                </w:tbl>
                <w:p w14:paraId="1F88D373" w14:textId="77777777" w:rsidR="00967792" w:rsidRPr="00612BF6" w:rsidRDefault="00967792" w:rsidP="00612BF6">
                  <w:pPr>
                    <w:spacing w:before="20" w:after="20"/>
                    <w:rPr>
                      <w:sz w:val="20"/>
                      <w:szCs w:val="20"/>
                      <w:lang w:val="es-ES"/>
                    </w:rPr>
                  </w:pPr>
                </w:p>
              </w:tc>
            </w:tr>
            <w:tr w:rsidR="00967792" w:rsidRPr="00A61288" w14:paraId="6885521D" w14:textId="77777777" w:rsidTr="00070ACF">
              <w:trPr>
                <w:jc w:val="center"/>
              </w:trPr>
              <w:tc>
                <w:tcPr>
                  <w:tcW w:w="3441" w:type="dxa"/>
                  <w:tcBorders>
                    <w:top w:val="single" w:sz="4" w:space="0" w:color="auto"/>
                    <w:left w:val="single" w:sz="4" w:space="0" w:color="auto"/>
                    <w:bottom w:val="single" w:sz="4" w:space="0" w:color="auto"/>
                    <w:right w:val="single" w:sz="4" w:space="0" w:color="auto"/>
                  </w:tcBorders>
                  <w:hideMark/>
                </w:tcPr>
                <w:p w14:paraId="1B5439E4" w14:textId="77777777" w:rsidR="00967792" w:rsidRPr="00612BF6" w:rsidRDefault="00967792" w:rsidP="00612BF6">
                  <w:pPr>
                    <w:spacing w:before="20" w:after="20"/>
                    <w:rPr>
                      <w:sz w:val="20"/>
                      <w:szCs w:val="20"/>
                      <w:lang w:val="es-ES"/>
                    </w:rPr>
                  </w:pPr>
                  <w:r w:rsidRPr="00612BF6">
                    <w:rPr>
                      <w:sz w:val="20"/>
                      <w:szCs w:val="20"/>
                      <w:lang w:val="es-ES"/>
                    </w:rPr>
                    <w:lastRenderedPageBreak/>
                    <w:t>Máxima potencia de entrada</w:t>
                  </w:r>
                </w:p>
              </w:tc>
              <w:tc>
                <w:tcPr>
                  <w:tcW w:w="2600" w:type="dxa"/>
                  <w:tcBorders>
                    <w:top w:val="single" w:sz="4" w:space="0" w:color="auto"/>
                    <w:left w:val="single" w:sz="4" w:space="0" w:color="auto"/>
                    <w:bottom w:val="single" w:sz="4" w:space="0" w:color="auto"/>
                    <w:right w:val="single" w:sz="4" w:space="0" w:color="auto"/>
                  </w:tcBorders>
                  <w:hideMark/>
                </w:tcPr>
                <w:p w14:paraId="093D8E83" w14:textId="77777777" w:rsidR="00967792" w:rsidRPr="00612BF6" w:rsidRDefault="00967792" w:rsidP="00612BF6">
                  <w:pPr>
                    <w:spacing w:before="20" w:after="20"/>
                    <w:rPr>
                      <w:sz w:val="20"/>
                      <w:szCs w:val="20"/>
                      <w:lang w:val="es-ES"/>
                    </w:rPr>
                  </w:pPr>
                  <w:r w:rsidRPr="00612BF6">
                    <w:rPr>
                      <w:sz w:val="20"/>
                      <w:szCs w:val="20"/>
                      <w:lang w:val="es-ES"/>
                    </w:rPr>
                    <w:t>13,7 dBW</w:t>
                  </w:r>
                </w:p>
              </w:tc>
              <w:tc>
                <w:tcPr>
                  <w:tcW w:w="2599" w:type="dxa"/>
                  <w:tcBorders>
                    <w:top w:val="single" w:sz="4" w:space="0" w:color="auto"/>
                    <w:left w:val="single" w:sz="4" w:space="0" w:color="auto"/>
                    <w:bottom w:val="single" w:sz="4" w:space="0" w:color="auto"/>
                    <w:right w:val="single" w:sz="4" w:space="0" w:color="auto"/>
                  </w:tcBorders>
                  <w:hideMark/>
                </w:tcPr>
                <w:p w14:paraId="1990F14A" w14:textId="77777777" w:rsidR="00967792" w:rsidRPr="00612BF6" w:rsidRDefault="00967792" w:rsidP="00612BF6">
                  <w:pPr>
                    <w:spacing w:before="20" w:after="20"/>
                    <w:rPr>
                      <w:sz w:val="20"/>
                      <w:szCs w:val="20"/>
                      <w:lang w:val="es-ES"/>
                    </w:rPr>
                  </w:pPr>
                  <w:r w:rsidRPr="00612BF6">
                    <w:rPr>
                      <w:sz w:val="20"/>
                      <w:szCs w:val="20"/>
                      <w:lang w:val="es-ES"/>
                    </w:rPr>
                    <w:t>18,8 dBW</w:t>
                  </w:r>
                </w:p>
              </w:tc>
            </w:tr>
            <w:tr w:rsidR="00967792" w:rsidRPr="00A61288" w14:paraId="04DBC0FB" w14:textId="77777777" w:rsidTr="00070ACF">
              <w:trPr>
                <w:jc w:val="center"/>
              </w:trPr>
              <w:tc>
                <w:tcPr>
                  <w:tcW w:w="3441" w:type="dxa"/>
                  <w:tcBorders>
                    <w:top w:val="single" w:sz="4" w:space="0" w:color="auto"/>
                    <w:left w:val="single" w:sz="4" w:space="0" w:color="auto"/>
                    <w:bottom w:val="single" w:sz="4" w:space="0" w:color="auto"/>
                    <w:right w:val="single" w:sz="4" w:space="0" w:color="auto"/>
                  </w:tcBorders>
                  <w:hideMark/>
                </w:tcPr>
                <w:p w14:paraId="5DABFF25" w14:textId="77777777" w:rsidR="00967792" w:rsidRPr="00612BF6" w:rsidRDefault="00967792" w:rsidP="00612BF6">
                  <w:pPr>
                    <w:spacing w:before="20" w:after="20"/>
                    <w:rPr>
                      <w:sz w:val="20"/>
                      <w:szCs w:val="20"/>
                      <w:lang w:val="es-ES"/>
                    </w:rPr>
                  </w:pPr>
                  <w:r w:rsidRPr="00612BF6">
                    <w:rPr>
                      <w:sz w:val="20"/>
                      <w:szCs w:val="20"/>
                      <w:lang w:val="es-ES"/>
                    </w:rPr>
                    <w:t>Máxima densidad de potencia de entrada</w:t>
                  </w:r>
                </w:p>
              </w:tc>
              <w:tc>
                <w:tcPr>
                  <w:tcW w:w="2600" w:type="dxa"/>
                  <w:tcBorders>
                    <w:top w:val="single" w:sz="4" w:space="0" w:color="auto"/>
                    <w:left w:val="single" w:sz="4" w:space="0" w:color="auto"/>
                    <w:bottom w:val="single" w:sz="4" w:space="0" w:color="auto"/>
                    <w:right w:val="single" w:sz="4" w:space="0" w:color="auto"/>
                  </w:tcBorders>
                  <w:hideMark/>
                </w:tcPr>
                <w:p w14:paraId="2A681BC3" w14:textId="77777777" w:rsidR="00967792" w:rsidRPr="00612BF6" w:rsidRDefault="00967792" w:rsidP="00612BF6">
                  <w:pPr>
                    <w:spacing w:before="20" w:after="20"/>
                    <w:rPr>
                      <w:sz w:val="20"/>
                      <w:szCs w:val="20"/>
                      <w:lang w:val="es-ES"/>
                    </w:rPr>
                  </w:pPr>
                  <w:r w:rsidRPr="00612BF6">
                    <w:rPr>
                      <w:sz w:val="20"/>
                      <w:szCs w:val="20"/>
                      <w:lang w:val="es-ES"/>
                    </w:rPr>
                    <w:t>–61,5 dBW/Hz</w:t>
                  </w:r>
                </w:p>
              </w:tc>
              <w:tc>
                <w:tcPr>
                  <w:tcW w:w="2599" w:type="dxa"/>
                  <w:tcBorders>
                    <w:top w:val="single" w:sz="4" w:space="0" w:color="auto"/>
                    <w:left w:val="single" w:sz="4" w:space="0" w:color="auto"/>
                    <w:bottom w:val="single" w:sz="4" w:space="0" w:color="auto"/>
                    <w:right w:val="single" w:sz="4" w:space="0" w:color="auto"/>
                  </w:tcBorders>
                  <w:hideMark/>
                </w:tcPr>
                <w:p w14:paraId="76FDE233" w14:textId="77777777" w:rsidR="00967792" w:rsidRPr="00612BF6" w:rsidRDefault="00967792" w:rsidP="00612BF6">
                  <w:pPr>
                    <w:spacing w:before="20" w:after="20"/>
                    <w:rPr>
                      <w:sz w:val="20"/>
                      <w:szCs w:val="20"/>
                      <w:lang w:val="es-ES"/>
                    </w:rPr>
                  </w:pPr>
                  <w:r w:rsidRPr="00612BF6">
                    <w:rPr>
                      <w:sz w:val="20"/>
                      <w:szCs w:val="20"/>
                      <w:lang w:val="es-ES"/>
                    </w:rPr>
                    <w:t>–56,4 dBW/Hz</w:t>
                  </w:r>
                </w:p>
              </w:tc>
            </w:tr>
            <w:tr w:rsidR="00967792" w:rsidRPr="00A61288" w14:paraId="087DCFA4" w14:textId="77777777" w:rsidTr="00070ACF">
              <w:trPr>
                <w:jc w:val="center"/>
              </w:trPr>
              <w:tc>
                <w:tcPr>
                  <w:tcW w:w="3441" w:type="dxa"/>
                  <w:tcBorders>
                    <w:top w:val="single" w:sz="4" w:space="0" w:color="auto"/>
                    <w:left w:val="single" w:sz="4" w:space="0" w:color="auto"/>
                    <w:bottom w:val="single" w:sz="4" w:space="0" w:color="auto"/>
                    <w:right w:val="single" w:sz="4" w:space="0" w:color="auto"/>
                  </w:tcBorders>
                  <w:hideMark/>
                </w:tcPr>
                <w:p w14:paraId="7D8719CC" w14:textId="77777777" w:rsidR="00967792" w:rsidRPr="00612BF6" w:rsidRDefault="00967792" w:rsidP="00612BF6">
                  <w:pPr>
                    <w:spacing w:before="20" w:after="20"/>
                    <w:rPr>
                      <w:sz w:val="20"/>
                      <w:szCs w:val="20"/>
                      <w:lang w:val="es-ES"/>
                    </w:rPr>
                  </w:pPr>
                  <w:r w:rsidRPr="00612BF6">
                    <w:rPr>
                      <w:sz w:val="20"/>
                      <w:szCs w:val="20"/>
                      <w:lang w:val="es-ES"/>
                    </w:rPr>
                    <w:t>Ganancia de la antena de estación terrena</w:t>
                  </w:r>
                </w:p>
              </w:tc>
              <w:tc>
                <w:tcPr>
                  <w:tcW w:w="2600" w:type="dxa"/>
                  <w:tcBorders>
                    <w:top w:val="single" w:sz="4" w:space="0" w:color="auto"/>
                    <w:left w:val="single" w:sz="4" w:space="0" w:color="auto"/>
                    <w:bottom w:val="single" w:sz="4" w:space="0" w:color="auto"/>
                    <w:right w:val="single" w:sz="4" w:space="0" w:color="auto"/>
                  </w:tcBorders>
                  <w:hideMark/>
                </w:tcPr>
                <w:p w14:paraId="42F5A54A" w14:textId="77777777" w:rsidR="00967792" w:rsidRPr="00612BF6" w:rsidRDefault="00967792" w:rsidP="00612BF6">
                  <w:pPr>
                    <w:spacing w:before="20" w:after="20"/>
                    <w:rPr>
                      <w:sz w:val="20"/>
                      <w:szCs w:val="20"/>
                      <w:lang w:val="es-ES"/>
                    </w:rPr>
                  </w:pPr>
                  <w:r w:rsidRPr="00612BF6">
                    <w:rPr>
                      <w:sz w:val="20"/>
                      <w:szCs w:val="20"/>
                      <w:lang w:val="es-ES"/>
                    </w:rPr>
                    <w:t>33,5 dBi</w:t>
                  </w:r>
                </w:p>
              </w:tc>
              <w:tc>
                <w:tcPr>
                  <w:tcW w:w="2599" w:type="dxa"/>
                  <w:tcBorders>
                    <w:top w:val="single" w:sz="4" w:space="0" w:color="auto"/>
                    <w:left w:val="single" w:sz="4" w:space="0" w:color="auto"/>
                    <w:bottom w:val="single" w:sz="4" w:space="0" w:color="auto"/>
                    <w:right w:val="single" w:sz="4" w:space="0" w:color="auto"/>
                  </w:tcBorders>
                  <w:hideMark/>
                </w:tcPr>
                <w:p w14:paraId="64D2DD39" w14:textId="77777777" w:rsidR="00967792" w:rsidRPr="00612BF6" w:rsidRDefault="00967792" w:rsidP="00612BF6">
                  <w:pPr>
                    <w:spacing w:before="20" w:after="20"/>
                    <w:rPr>
                      <w:sz w:val="20"/>
                      <w:szCs w:val="20"/>
                      <w:lang w:val="es-ES"/>
                    </w:rPr>
                  </w:pPr>
                  <w:r w:rsidRPr="00612BF6">
                    <w:rPr>
                      <w:sz w:val="20"/>
                      <w:szCs w:val="20"/>
                      <w:lang w:val="es-ES"/>
                    </w:rPr>
                    <w:t>57 dBi</w:t>
                  </w:r>
                </w:p>
              </w:tc>
            </w:tr>
            <w:tr w:rsidR="00967792" w:rsidRPr="00A61288" w14:paraId="7F211AE3" w14:textId="77777777" w:rsidTr="00070ACF">
              <w:trPr>
                <w:jc w:val="center"/>
              </w:trPr>
              <w:tc>
                <w:tcPr>
                  <w:tcW w:w="3441" w:type="dxa"/>
                  <w:tcBorders>
                    <w:top w:val="single" w:sz="4" w:space="0" w:color="auto"/>
                    <w:left w:val="single" w:sz="4" w:space="0" w:color="auto"/>
                    <w:bottom w:val="single" w:sz="4" w:space="0" w:color="auto"/>
                    <w:right w:val="single" w:sz="4" w:space="0" w:color="auto"/>
                  </w:tcBorders>
                  <w:hideMark/>
                </w:tcPr>
                <w:p w14:paraId="5D938AB0" w14:textId="77777777" w:rsidR="00967792" w:rsidRPr="00612BF6" w:rsidRDefault="00967792" w:rsidP="00612BF6">
                  <w:pPr>
                    <w:spacing w:before="20" w:after="20"/>
                    <w:rPr>
                      <w:sz w:val="20"/>
                      <w:szCs w:val="20"/>
                      <w:lang w:val="es-ES"/>
                    </w:rPr>
                  </w:pPr>
                  <w:r w:rsidRPr="00612BF6">
                    <w:rPr>
                      <w:sz w:val="20"/>
                      <w:szCs w:val="20"/>
                      <w:lang w:val="es-ES"/>
                    </w:rPr>
                    <w:t>Diámetro de antena de estación terrena</w:t>
                  </w:r>
                </w:p>
              </w:tc>
              <w:tc>
                <w:tcPr>
                  <w:tcW w:w="2600" w:type="dxa"/>
                  <w:tcBorders>
                    <w:top w:val="single" w:sz="4" w:space="0" w:color="auto"/>
                    <w:left w:val="single" w:sz="4" w:space="0" w:color="auto"/>
                    <w:bottom w:val="single" w:sz="4" w:space="0" w:color="auto"/>
                    <w:right w:val="single" w:sz="4" w:space="0" w:color="auto"/>
                  </w:tcBorders>
                  <w:hideMark/>
                </w:tcPr>
                <w:p w14:paraId="003C600D" w14:textId="77777777" w:rsidR="00967792" w:rsidRPr="00612BF6" w:rsidRDefault="00967792" w:rsidP="00612BF6">
                  <w:pPr>
                    <w:spacing w:before="20" w:after="20"/>
                    <w:rPr>
                      <w:sz w:val="20"/>
                      <w:szCs w:val="20"/>
                      <w:lang w:val="es-ES"/>
                    </w:rPr>
                  </w:pPr>
                  <w:r w:rsidRPr="00612BF6">
                    <w:rPr>
                      <w:sz w:val="20"/>
                      <w:szCs w:val="20"/>
                      <w:lang w:val="es-ES"/>
                    </w:rPr>
                    <w:t>0,6 m</w:t>
                  </w:r>
                </w:p>
              </w:tc>
              <w:tc>
                <w:tcPr>
                  <w:tcW w:w="2599" w:type="dxa"/>
                  <w:tcBorders>
                    <w:top w:val="single" w:sz="4" w:space="0" w:color="auto"/>
                    <w:left w:val="single" w:sz="4" w:space="0" w:color="auto"/>
                    <w:bottom w:val="single" w:sz="4" w:space="0" w:color="auto"/>
                    <w:right w:val="single" w:sz="4" w:space="0" w:color="auto"/>
                  </w:tcBorders>
                  <w:hideMark/>
                </w:tcPr>
                <w:p w14:paraId="273D8B98" w14:textId="77777777" w:rsidR="00967792" w:rsidRPr="00612BF6" w:rsidRDefault="00967792" w:rsidP="00612BF6">
                  <w:pPr>
                    <w:spacing w:before="20" w:after="20"/>
                    <w:rPr>
                      <w:sz w:val="20"/>
                      <w:szCs w:val="20"/>
                      <w:lang w:val="es-ES"/>
                    </w:rPr>
                  </w:pPr>
                  <w:r w:rsidRPr="00612BF6">
                    <w:rPr>
                      <w:sz w:val="20"/>
                      <w:szCs w:val="20"/>
                      <w:lang w:val="es-ES"/>
                    </w:rPr>
                    <w:t>5 m</w:t>
                  </w:r>
                </w:p>
              </w:tc>
            </w:tr>
            <w:tr w:rsidR="00967792" w:rsidRPr="00A61288" w14:paraId="4DCE084E" w14:textId="77777777" w:rsidTr="00070ACF">
              <w:trPr>
                <w:jc w:val="center"/>
              </w:trPr>
              <w:tc>
                <w:tcPr>
                  <w:tcW w:w="3441" w:type="dxa"/>
                  <w:tcBorders>
                    <w:top w:val="single" w:sz="4" w:space="0" w:color="auto"/>
                    <w:left w:val="single" w:sz="4" w:space="0" w:color="auto"/>
                    <w:bottom w:val="single" w:sz="4" w:space="0" w:color="auto"/>
                    <w:right w:val="single" w:sz="4" w:space="0" w:color="auto"/>
                  </w:tcBorders>
                  <w:hideMark/>
                </w:tcPr>
                <w:p w14:paraId="3411686F" w14:textId="77777777" w:rsidR="00967792" w:rsidRPr="00612BF6" w:rsidRDefault="00967792" w:rsidP="00612BF6">
                  <w:pPr>
                    <w:spacing w:before="20" w:after="20"/>
                    <w:rPr>
                      <w:sz w:val="20"/>
                      <w:szCs w:val="20"/>
                      <w:lang w:val="es-ES"/>
                    </w:rPr>
                  </w:pPr>
                  <w:r w:rsidRPr="00612BF6">
                    <w:rPr>
                      <w:sz w:val="20"/>
                      <w:szCs w:val="20"/>
                      <w:lang w:val="es-ES"/>
                    </w:rPr>
                    <w:t>Diagrama de antena de estación terrena</w:t>
                  </w:r>
                </w:p>
              </w:tc>
              <w:tc>
                <w:tcPr>
                  <w:tcW w:w="2600" w:type="dxa"/>
                  <w:tcBorders>
                    <w:top w:val="single" w:sz="4" w:space="0" w:color="auto"/>
                    <w:left w:val="single" w:sz="4" w:space="0" w:color="auto"/>
                    <w:bottom w:val="single" w:sz="4" w:space="0" w:color="auto"/>
                    <w:right w:val="single" w:sz="4" w:space="0" w:color="auto"/>
                  </w:tcBorders>
                  <w:hideMark/>
                </w:tcPr>
                <w:p w14:paraId="1AE02871" w14:textId="77777777" w:rsidR="00967792" w:rsidRPr="00612BF6" w:rsidRDefault="00967792" w:rsidP="00612BF6">
                  <w:pPr>
                    <w:spacing w:before="20" w:after="20"/>
                    <w:rPr>
                      <w:sz w:val="20"/>
                      <w:szCs w:val="20"/>
                      <w:lang w:val="es-ES"/>
                    </w:rPr>
                  </w:pPr>
                  <w:r w:rsidRPr="00612BF6">
                    <w:rPr>
                      <w:sz w:val="20"/>
                      <w:szCs w:val="20"/>
                      <w:lang w:val="es-ES"/>
                    </w:rPr>
                    <w:t>MODRES</w:t>
                  </w:r>
                </w:p>
              </w:tc>
              <w:tc>
                <w:tcPr>
                  <w:tcW w:w="2599" w:type="dxa"/>
                  <w:tcBorders>
                    <w:top w:val="single" w:sz="4" w:space="0" w:color="auto"/>
                    <w:left w:val="single" w:sz="4" w:space="0" w:color="auto"/>
                    <w:bottom w:val="single" w:sz="4" w:space="0" w:color="auto"/>
                    <w:right w:val="single" w:sz="4" w:space="0" w:color="auto"/>
                  </w:tcBorders>
                  <w:hideMark/>
                </w:tcPr>
                <w:p w14:paraId="247C40C8" w14:textId="77777777" w:rsidR="00967792" w:rsidRPr="00612BF6" w:rsidRDefault="00967792" w:rsidP="00612BF6">
                  <w:pPr>
                    <w:spacing w:before="20" w:after="20"/>
                    <w:rPr>
                      <w:sz w:val="20"/>
                      <w:szCs w:val="20"/>
                      <w:lang w:val="es-ES"/>
                    </w:rPr>
                  </w:pPr>
                  <w:r w:rsidRPr="00612BF6">
                    <w:rPr>
                      <w:sz w:val="20"/>
                      <w:szCs w:val="20"/>
                      <w:lang w:val="es-ES"/>
                    </w:rPr>
                    <w:t>MODTES</w:t>
                  </w:r>
                </w:p>
              </w:tc>
            </w:tr>
            <w:tr w:rsidR="00967792" w:rsidRPr="00A61288" w14:paraId="00F2F713" w14:textId="77777777" w:rsidTr="00070ACF">
              <w:trPr>
                <w:jc w:val="center"/>
              </w:trPr>
              <w:tc>
                <w:tcPr>
                  <w:tcW w:w="3441" w:type="dxa"/>
                  <w:tcBorders>
                    <w:top w:val="single" w:sz="4" w:space="0" w:color="auto"/>
                    <w:left w:val="single" w:sz="4" w:space="0" w:color="auto"/>
                    <w:bottom w:val="single" w:sz="4" w:space="0" w:color="auto"/>
                    <w:right w:val="single" w:sz="4" w:space="0" w:color="auto"/>
                  </w:tcBorders>
                  <w:hideMark/>
                </w:tcPr>
                <w:p w14:paraId="74217565" w14:textId="77777777" w:rsidR="00967792" w:rsidRPr="00612BF6" w:rsidRDefault="00967792" w:rsidP="00612BF6">
                  <w:pPr>
                    <w:spacing w:before="20" w:after="20"/>
                    <w:rPr>
                      <w:sz w:val="20"/>
                      <w:szCs w:val="20"/>
                      <w:lang w:val="es-ES"/>
                    </w:rPr>
                  </w:pPr>
                  <w:r w:rsidRPr="00612BF6">
                    <w:rPr>
                      <w:sz w:val="20"/>
                      <w:szCs w:val="20"/>
                      <w:lang w:val="es-ES"/>
                    </w:rPr>
                    <w:t>Ancho del haz de 3 dB de estación terrena</w:t>
                  </w:r>
                </w:p>
              </w:tc>
              <w:tc>
                <w:tcPr>
                  <w:tcW w:w="2600" w:type="dxa"/>
                  <w:tcBorders>
                    <w:top w:val="single" w:sz="4" w:space="0" w:color="auto"/>
                    <w:left w:val="single" w:sz="4" w:space="0" w:color="auto"/>
                    <w:bottom w:val="single" w:sz="4" w:space="0" w:color="auto"/>
                    <w:right w:val="single" w:sz="4" w:space="0" w:color="auto"/>
                  </w:tcBorders>
                  <w:hideMark/>
                </w:tcPr>
                <w:p w14:paraId="42A19475" w14:textId="77777777" w:rsidR="00967792" w:rsidRPr="00612BF6" w:rsidRDefault="00967792" w:rsidP="00612BF6">
                  <w:pPr>
                    <w:spacing w:before="20" w:after="20"/>
                    <w:rPr>
                      <w:sz w:val="20"/>
                      <w:szCs w:val="20"/>
                      <w:lang w:val="es-ES"/>
                    </w:rPr>
                  </w:pPr>
                  <w:r w:rsidRPr="00612BF6">
                    <w:rPr>
                      <w:sz w:val="20"/>
                      <w:szCs w:val="20"/>
                      <w:lang w:val="es-ES"/>
                    </w:rPr>
                    <w:t>2,86°</w:t>
                  </w:r>
                </w:p>
              </w:tc>
              <w:tc>
                <w:tcPr>
                  <w:tcW w:w="2599" w:type="dxa"/>
                  <w:tcBorders>
                    <w:top w:val="single" w:sz="4" w:space="0" w:color="auto"/>
                    <w:left w:val="single" w:sz="4" w:space="0" w:color="auto"/>
                    <w:bottom w:val="single" w:sz="4" w:space="0" w:color="auto"/>
                    <w:right w:val="single" w:sz="4" w:space="0" w:color="auto"/>
                  </w:tcBorders>
                  <w:hideMark/>
                </w:tcPr>
                <w:p w14:paraId="4BC93494" w14:textId="77777777" w:rsidR="00967792" w:rsidRPr="00612BF6" w:rsidRDefault="00967792" w:rsidP="00612BF6">
                  <w:pPr>
                    <w:spacing w:before="20" w:after="20"/>
                    <w:rPr>
                      <w:sz w:val="20"/>
                      <w:szCs w:val="20"/>
                      <w:lang w:val="es-ES"/>
                    </w:rPr>
                  </w:pPr>
                  <w:r w:rsidRPr="00612BF6">
                    <w:rPr>
                      <w:sz w:val="20"/>
                      <w:szCs w:val="20"/>
                      <w:lang w:val="es-ES"/>
                    </w:rPr>
                    <w:t>0,25°</w:t>
                  </w:r>
                </w:p>
              </w:tc>
            </w:tr>
            <w:tr w:rsidR="00967792" w:rsidRPr="00A61288" w14:paraId="642BCAD6" w14:textId="77777777" w:rsidTr="00070ACF">
              <w:trPr>
                <w:jc w:val="center"/>
              </w:trPr>
              <w:tc>
                <w:tcPr>
                  <w:tcW w:w="3441" w:type="dxa"/>
                  <w:tcBorders>
                    <w:top w:val="single" w:sz="4" w:space="0" w:color="auto"/>
                    <w:left w:val="single" w:sz="4" w:space="0" w:color="auto"/>
                    <w:bottom w:val="single" w:sz="4" w:space="0" w:color="auto"/>
                    <w:right w:val="single" w:sz="4" w:space="0" w:color="auto"/>
                  </w:tcBorders>
                  <w:hideMark/>
                </w:tcPr>
                <w:p w14:paraId="03FD3733" w14:textId="77777777" w:rsidR="00967792" w:rsidRPr="00612BF6" w:rsidRDefault="00967792" w:rsidP="00612BF6">
                  <w:pPr>
                    <w:spacing w:before="20" w:after="20"/>
                    <w:rPr>
                      <w:sz w:val="20"/>
                      <w:szCs w:val="20"/>
                      <w:lang w:val="es-ES"/>
                    </w:rPr>
                  </w:pPr>
                  <w:r w:rsidRPr="00612BF6">
                    <w:rPr>
                      <w:sz w:val="20"/>
                      <w:szCs w:val="20"/>
                      <w:lang w:val="es-ES"/>
                    </w:rPr>
                    <w:t>10 canales</w:t>
                  </w:r>
                </w:p>
              </w:tc>
              <w:tc>
                <w:tcPr>
                  <w:tcW w:w="2600" w:type="dxa"/>
                  <w:tcBorders>
                    <w:top w:val="single" w:sz="4" w:space="0" w:color="auto"/>
                    <w:left w:val="single" w:sz="4" w:space="0" w:color="auto"/>
                    <w:bottom w:val="single" w:sz="4" w:space="0" w:color="auto"/>
                    <w:right w:val="single" w:sz="4" w:space="0" w:color="auto"/>
                  </w:tcBorders>
                  <w:hideMark/>
                </w:tcPr>
                <w:p w14:paraId="243B41D9" w14:textId="77777777" w:rsidR="00967792" w:rsidRPr="00612BF6" w:rsidRDefault="00967792" w:rsidP="00612BF6">
                  <w:pPr>
                    <w:spacing w:before="20" w:after="20"/>
                    <w:rPr>
                      <w:sz w:val="20"/>
                      <w:szCs w:val="20"/>
                      <w:lang w:val="es-ES"/>
                    </w:rPr>
                  </w:pPr>
                  <w:r w:rsidRPr="00612BF6">
                    <w:rPr>
                      <w:sz w:val="20"/>
                      <w:szCs w:val="20"/>
                      <w:lang w:val="es-ES"/>
                    </w:rPr>
                    <w:t>1, 2, 3, 4, 5, 6, 7, 8, 17, 18</w:t>
                  </w:r>
                </w:p>
              </w:tc>
              <w:tc>
                <w:tcPr>
                  <w:tcW w:w="2599" w:type="dxa"/>
                  <w:tcBorders>
                    <w:top w:val="single" w:sz="4" w:space="0" w:color="auto"/>
                    <w:left w:val="single" w:sz="4" w:space="0" w:color="auto"/>
                    <w:bottom w:val="single" w:sz="4" w:space="0" w:color="auto"/>
                    <w:right w:val="single" w:sz="4" w:space="0" w:color="auto"/>
                  </w:tcBorders>
                  <w:hideMark/>
                </w:tcPr>
                <w:p w14:paraId="1059E827" w14:textId="77777777" w:rsidR="00967792" w:rsidRPr="00612BF6" w:rsidRDefault="00967792" w:rsidP="00612BF6">
                  <w:pPr>
                    <w:spacing w:before="20" w:after="20"/>
                    <w:rPr>
                      <w:sz w:val="20"/>
                      <w:szCs w:val="20"/>
                      <w:lang w:val="es-ES"/>
                    </w:rPr>
                  </w:pPr>
                  <w:r w:rsidRPr="00612BF6">
                    <w:rPr>
                      <w:sz w:val="20"/>
                      <w:szCs w:val="20"/>
                      <w:lang w:val="es-ES"/>
                    </w:rPr>
                    <w:t>1, 2, 3, 4, 5, 6, 7, 8, 17, 18</w:t>
                  </w:r>
                </w:p>
              </w:tc>
            </w:tr>
            <w:tr w:rsidR="00967792" w:rsidRPr="00A61288" w14:paraId="75B3D67E" w14:textId="77777777" w:rsidTr="00070ACF">
              <w:trPr>
                <w:jc w:val="center"/>
              </w:trPr>
              <w:tc>
                <w:tcPr>
                  <w:tcW w:w="3441" w:type="dxa"/>
                  <w:tcBorders>
                    <w:top w:val="single" w:sz="4" w:space="0" w:color="auto"/>
                    <w:left w:val="single" w:sz="4" w:space="0" w:color="auto"/>
                    <w:bottom w:val="single" w:sz="4" w:space="0" w:color="auto"/>
                    <w:right w:val="single" w:sz="4" w:space="0" w:color="auto"/>
                  </w:tcBorders>
                  <w:hideMark/>
                </w:tcPr>
                <w:p w14:paraId="7F1171CE" w14:textId="77777777" w:rsidR="00967792" w:rsidRPr="00612BF6" w:rsidRDefault="00967792" w:rsidP="00612BF6">
                  <w:pPr>
                    <w:spacing w:before="20" w:after="20"/>
                    <w:rPr>
                      <w:sz w:val="20"/>
                      <w:szCs w:val="20"/>
                      <w:lang w:val="es-ES"/>
                    </w:rPr>
                  </w:pPr>
                  <w:r w:rsidRPr="00612BF6">
                    <w:rPr>
                      <w:sz w:val="20"/>
                      <w:szCs w:val="20"/>
                      <w:lang w:val="es-ES"/>
                    </w:rPr>
                    <w:t>Ancho de banda por canal</w:t>
                  </w:r>
                </w:p>
              </w:tc>
              <w:tc>
                <w:tcPr>
                  <w:tcW w:w="2600" w:type="dxa"/>
                  <w:tcBorders>
                    <w:top w:val="single" w:sz="4" w:space="0" w:color="auto"/>
                    <w:left w:val="single" w:sz="4" w:space="0" w:color="auto"/>
                    <w:bottom w:val="single" w:sz="4" w:space="0" w:color="auto"/>
                    <w:right w:val="single" w:sz="4" w:space="0" w:color="auto"/>
                  </w:tcBorders>
                  <w:hideMark/>
                </w:tcPr>
                <w:p w14:paraId="5B47F04F" w14:textId="77777777" w:rsidR="00967792" w:rsidRPr="00612BF6" w:rsidRDefault="00967792" w:rsidP="00612BF6">
                  <w:pPr>
                    <w:spacing w:before="20" w:after="20"/>
                    <w:rPr>
                      <w:sz w:val="20"/>
                      <w:szCs w:val="20"/>
                      <w:lang w:val="es-ES"/>
                    </w:rPr>
                  </w:pPr>
                  <w:r w:rsidRPr="00612BF6">
                    <w:rPr>
                      <w:sz w:val="20"/>
                      <w:szCs w:val="20"/>
                      <w:lang w:val="es-ES"/>
                    </w:rPr>
                    <w:t>33 MHz</w:t>
                  </w:r>
                </w:p>
              </w:tc>
              <w:tc>
                <w:tcPr>
                  <w:tcW w:w="2599" w:type="dxa"/>
                  <w:tcBorders>
                    <w:top w:val="single" w:sz="4" w:space="0" w:color="auto"/>
                    <w:left w:val="single" w:sz="4" w:space="0" w:color="auto"/>
                    <w:bottom w:val="single" w:sz="4" w:space="0" w:color="auto"/>
                    <w:right w:val="single" w:sz="4" w:space="0" w:color="auto"/>
                  </w:tcBorders>
                  <w:hideMark/>
                </w:tcPr>
                <w:p w14:paraId="71DAE5EE" w14:textId="77777777" w:rsidR="00967792" w:rsidRPr="00612BF6" w:rsidRDefault="00967792" w:rsidP="00612BF6">
                  <w:pPr>
                    <w:spacing w:before="20" w:after="20"/>
                    <w:rPr>
                      <w:sz w:val="20"/>
                      <w:szCs w:val="20"/>
                      <w:lang w:val="es-ES"/>
                    </w:rPr>
                  </w:pPr>
                  <w:r w:rsidRPr="00612BF6">
                    <w:rPr>
                      <w:sz w:val="20"/>
                      <w:szCs w:val="20"/>
                      <w:lang w:val="es-ES"/>
                    </w:rPr>
                    <w:t>33 MHz</w:t>
                  </w:r>
                </w:p>
              </w:tc>
            </w:tr>
            <w:tr w:rsidR="00967792" w:rsidRPr="00A61288" w14:paraId="4F052E5F" w14:textId="77777777" w:rsidTr="00070ACF">
              <w:trPr>
                <w:jc w:val="center"/>
              </w:trPr>
              <w:tc>
                <w:tcPr>
                  <w:tcW w:w="3441" w:type="dxa"/>
                  <w:tcBorders>
                    <w:top w:val="single" w:sz="4" w:space="0" w:color="auto"/>
                    <w:left w:val="single" w:sz="4" w:space="0" w:color="auto"/>
                    <w:bottom w:val="single" w:sz="4" w:space="0" w:color="auto"/>
                    <w:right w:val="single" w:sz="4" w:space="0" w:color="auto"/>
                  </w:tcBorders>
                  <w:hideMark/>
                </w:tcPr>
                <w:p w14:paraId="0F388382" w14:textId="77777777" w:rsidR="00967792" w:rsidRPr="00612BF6" w:rsidRDefault="00967792" w:rsidP="00612BF6">
                  <w:pPr>
                    <w:spacing w:before="20" w:after="20"/>
                    <w:rPr>
                      <w:sz w:val="20"/>
                      <w:szCs w:val="20"/>
                      <w:lang w:val="es-ES"/>
                    </w:rPr>
                  </w:pPr>
                  <w:r w:rsidRPr="00612BF6">
                    <w:rPr>
                      <w:sz w:val="20"/>
                      <w:szCs w:val="20"/>
                      <w:lang w:val="es-ES"/>
                    </w:rPr>
                    <w:t>Polarización</w:t>
                  </w:r>
                </w:p>
              </w:tc>
              <w:tc>
                <w:tcPr>
                  <w:tcW w:w="2600" w:type="dxa"/>
                  <w:tcBorders>
                    <w:top w:val="single" w:sz="4" w:space="0" w:color="auto"/>
                    <w:left w:val="single" w:sz="4" w:space="0" w:color="auto"/>
                    <w:bottom w:val="single" w:sz="4" w:space="0" w:color="auto"/>
                    <w:right w:val="single" w:sz="4" w:space="0" w:color="auto"/>
                  </w:tcBorders>
                  <w:hideMark/>
                </w:tcPr>
                <w:p w14:paraId="0619BCB7" w14:textId="77777777" w:rsidR="00967792" w:rsidRPr="00612BF6" w:rsidRDefault="00967792" w:rsidP="00612BF6">
                  <w:pPr>
                    <w:spacing w:before="20" w:after="20"/>
                    <w:rPr>
                      <w:sz w:val="20"/>
                      <w:szCs w:val="20"/>
                      <w:lang w:val="es-ES"/>
                    </w:rPr>
                  </w:pPr>
                  <w:r w:rsidRPr="00612BF6">
                    <w:rPr>
                      <w:sz w:val="20"/>
                      <w:szCs w:val="20"/>
                      <w:lang w:val="es-ES"/>
                    </w:rPr>
                    <w:t>Lineal impar 0°</w:t>
                  </w:r>
                </w:p>
                <w:p w14:paraId="24696B95" w14:textId="77777777" w:rsidR="00967792" w:rsidRPr="00612BF6" w:rsidRDefault="00967792" w:rsidP="00612BF6">
                  <w:pPr>
                    <w:spacing w:before="20" w:after="20"/>
                    <w:rPr>
                      <w:sz w:val="20"/>
                      <w:szCs w:val="20"/>
                      <w:lang w:val="es-ES"/>
                    </w:rPr>
                  </w:pPr>
                  <w:r w:rsidRPr="00612BF6">
                    <w:rPr>
                      <w:sz w:val="20"/>
                      <w:szCs w:val="20"/>
                      <w:lang w:val="es-ES"/>
                    </w:rPr>
                    <w:t>Lineal par 90°</w:t>
                  </w:r>
                </w:p>
              </w:tc>
              <w:tc>
                <w:tcPr>
                  <w:tcW w:w="2599" w:type="dxa"/>
                  <w:tcBorders>
                    <w:top w:val="single" w:sz="4" w:space="0" w:color="auto"/>
                    <w:left w:val="single" w:sz="4" w:space="0" w:color="auto"/>
                    <w:bottom w:val="single" w:sz="4" w:space="0" w:color="auto"/>
                    <w:right w:val="single" w:sz="4" w:space="0" w:color="auto"/>
                  </w:tcBorders>
                  <w:hideMark/>
                </w:tcPr>
                <w:p w14:paraId="7B510852" w14:textId="77777777" w:rsidR="00967792" w:rsidRPr="00612BF6" w:rsidRDefault="00967792" w:rsidP="00612BF6">
                  <w:pPr>
                    <w:spacing w:before="20" w:after="20"/>
                    <w:rPr>
                      <w:sz w:val="20"/>
                      <w:szCs w:val="20"/>
                      <w:lang w:val="es-ES"/>
                    </w:rPr>
                  </w:pPr>
                  <w:r w:rsidRPr="00612BF6">
                    <w:rPr>
                      <w:sz w:val="20"/>
                      <w:szCs w:val="20"/>
                      <w:lang w:val="es-ES"/>
                    </w:rPr>
                    <w:t>Lineal impar 0°</w:t>
                  </w:r>
                </w:p>
                <w:p w14:paraId="6EB91FC8" w14:textId="77777777" w:rsidR="00967792" w:rsidRPr="00612BF6" w:rsidRDefault="00967792" w:rsidP="00612BF6">
                  <w:pPr>
                    <w:spacing w:before="20" w:after="20"/>
                    <w:rPr>
                      <w:sz w:val="20"/>
                      <w:szCs w:val="20"/>
                      <w:lang w:val="es-ES"/>
                    </w:rPr>
                  </w:pPr>
                  <w:r w:rsidRPr="00612BF6">
                    <w:rPr>
                      <w:sz w:val="20"/>
                      <w:szCs w:val="20"/>
                      <w:lang w:val="es-ES"/>
                    </w:rPr>
                    <w:t>Lineal par 90</w:t>
                  </w:r>
                  <w:r w:rsidRPr="00612BF6">
                    <w:rPr>
                      <w:sz w:val="20"/>
                      <w:szCs w:val="20"/>
                      <w:lang w:val="es-ES"/>
                    </w:rPr>
                    <w:sym w:font="Symbol" w:char="F0B0"/>
                  </w:r>
                </w:p>
              </w:tc>
            </w:tr>
            <w:tr w:rsidR="00967792" w:rsidRPr="00A61288" w14:paraId="22649318" w14:textId="77777777" w:rsidTr="00070ACF">
              <w:trPr>
                <w:jc w:val="center"/>
              </w:trPr>
              <w:tc>
                <w:tcPr>
                  <w:tcW w:w="3441" w:type="dxa"/>
                  <w:tcBorders>
                    <w:top w:val="single" w:sz="4" w:space="0" w:color="auto"/>
                    <w:left w:val="single" w:sz="4" w:space="0" w:color="auto"/>
                    <w:bottom w:val="single" w:sz="4" w:space="0" w:color="auto"/>
                    <w:right w:val="single" w:sz="4" w:space="0" w:color="auto"/>
                  </w:tcBorders>
                  <w:hideMark/>
                </w:tcPr>
                <w:p w14:paraId="14D0CFF3" w14:textId="77777777" w:rsidR="00967792" w:rsidRPr="00612BF6" w:rsidRDefault="00967792" w:rsidP="00612BF6">
                  <w:pPr>
                    <w:spacing w:before="20" w:after="20"/>
                    <w:rPr>
                      <w:sz w:val="20"/>
                      <w:szCs w:val="20"/>
                      <w:lang w:val="es-ES"/>
                    </w:rPr>
                  </w:pPr>
                  <w:r w:rsidRPr="00612BF6">
                    <w:rPr>
                      <w:sz w:val="20"/>
                      <w:szCs w:val="20"/>
                      <w:lang w:val="es-ES"/>
                    </w:rPr>
                    <w:t>Designación de la emisión</w:t>
                  </w:r>
                </w:p>
              </w:tc>
              <w:tc>
                <w:tcPr>
                  <w:tcW w:w="2600" w:type="dxa"/>
                  <w:tcBorders>
                    <w:top w:val="single" w:sz="4" w:space="0" w:color="auto"/>
                    <w:left w:val="single" w:sz="4" w:space="0" w:color="auto"/>
                    <w:bottom w:val="single" w:sz="4" w:space="0" w:color="auto"/>
                    <w:right w:val="single" w:sz="4" w:space="0" w:color="auto"/>
                  </w:tcBorders>
                  <w:hideMark/>
                </w:tcPr>
                <w:p w14:paraId="29C66429" w14:textId="77777777" w:rsidR="00967792" w:rsidRPr="00612BF6" w:rsidRDefault="00967792" w:rsidP="00612BF6">
                  <w:pPr>
                    <w:spacing w:before="20" w:after="20"/>
                    <w:rPr>
                      <w:sz w:val="20"/>
                      <w:szCs w:val="20"/>
                      <w:lang w:val="es-ES"/>
                    </w:rPr>
                  </w:pPr>
                  <w:r w:rsidRPr="00612BF6">
                    <w:rPr>
                      <w:sz w:val="20"/>
                      <w:szCs w:val="20"/>
                      <w:lang w:val="es-ES"/>
                    </w:rPr>
                    <w:t>33M0G7W--</w:t>
                  </w:r>
                </w:p>
              </w:tc>
              <w:tc>
                <w:tcPr>
                  <w:tcW w:w="2599" w:type="dxa"/>
                  <w:tcBorders>
                    <w:top w:val="single" w:sz="4" w:space="0" w:color="auto"/>
                    <w:left w:val="single" w:sz="4" w:space="0" w:color="auto"/>
                    <w:bottom w:val="single" w:sz="4" w:space="0" w:color="auto"/>
                    <w:right w:val="single" w:sz="4" w:space="0" w:color="auto"/>
                  </w:tcBorders>
                  <w:hideMark/>
                </w:tcPr>
                <w:p w14:paraId="3AFD4C4A" w14:textId="77777777" w:rsidR="00967792" w:rsidRPr="00612BF6" w:rsidRDefault="00967792" w:rsidP="00612BF6">
                  <w:pPr>
                    <w:spacing w:before="20" w:after="20"/>
                    <w:rPr>
                      <w:sz w:val="20"/>
                      <w:szCs w:val="20"/>
                      <w:lang w:val="es-ES"/>
                    </w:rPr>
                  </w:pPr>
                  <w:r w:rsidRPr="00612BF6">
                    <w:rPr>
                      <w:sz w:val="20"/>
                      <w:szCs w:val="20"/>
                      <w:lang w:val="es-ES"/>
                    </w:rPr>
                    <w:t>33M0G7W--</w:t>
                  </w:r>
                </w:p>
              </w:tc>
            </w:tr>
            <w:tr w:rsidR="00967792" w:rsidRPr="00A61288" w14:paraId="28112319" w14:textId="77777777" w:rsidTr="00070ACF">
              <w:trPr>
                <w:jc w:val="center"/>
              </w:trPr>
              <w:tc>
                <w:tcPr>
                  <w:tcW w:w="3441" w:type="dxa"/>
                  <w:tcBorders>
                    <w:top w:val="single" w:sz="4" w:space="0" w:color="auto"/>
                    <w:left w:val="single" w:sz="4" w:space="0" w:color="auto"/>
                    <w:bottom w:val="single" w:sz="4" w:space="0" w:color="auto"/>
                    <w:right w:val="single" w:sz="4" w:space="0" w:color="auto"/>
                  </w:tcBorders>
                  <w:hideMark/>
                </w:tcPr>
                <w:p w14:paraId="076BBBE4" w14:textId="77777777" w:rsidR="00967792" w:rsidRPr="00612BF6" w:rsidRDefault="00967792" w:rsidP="00612BF6">
                  <w:pPr>
                    <w:spacing w:before="20" w:after="20"/>
                    <w:rPr>
                      <w:sz w:val="20"/>
                      <w:szCs w:val="20"/>
                      <w:lang w:val="es-ES"/>
                    </w:rPr>
                  </w:pPr>
                  <w:r w:rsidRPr="00612BF6">
                    <w:rPr>
                      <w:sz w:val="20"/>
                      <w:szCs w:val="20"/>
                      <w:lang w:val="es-ES"/>
                    </w:rPr>
                    <w:t>Control de potencia</w:t>
                  </w:r>
                </w:p>
              </w:tc>
              <w:tc>
                <w:tcPr>
                  <w:tcW w:w="2600" w:type="dxa"/>
                  <w:tcBorders>
                    <w:top w:val="single" w:sz="4" w:space="0" w:color="auto"/>
                    <w:left w:val="single" w:sz="4" w:space="0" w:color="auto"/>
                    <w:bottom w:val="single" w:sz="4" w:space="0" w:color="auto"/>
                    <w:right w:val="single" w:sz="4" w:space="0" w:color="auto"/>
                  </w:tcBorders>
                </w:tcPr>
                <w:p w14:paraId="4B13C7D5" w14:textId="77777777" w:rsidR="00967792" w:rsidRPr="00612BF6" w:rsidRDefault="00967792" w:rsidP="00612BF6">
                  <w:pPr>
                    <w:spacing w:before="20" w:after="20"/>
                    <w:rPr>
                      <w:sz w:val="20"/>
                      <w:szCs w:val="20"/>
                      <w:lang w:val="es-ES"/>
                    </w:rPr>
                  </w:pPr>
                </w:p>
              </w:tc>
              <w:tc>
                <w:tcPr>
                  <w:tcW w:w="2599" w:type="dxa"/>
                  <w:tcBorders>
                    <w:top w:val="single" w:sz="4" w:space="0" w:color="auto"/>
                    <w:left w:val="single" w:sz="4" w:space="0" w:color="auto"/>
                    <w:bottom w:val="single" w:sz="4" w:space="0" w:color="auto"/>
                    <w:right w:val="single" w:sz="4" w:space="0" w:color="auto"/>
                  </w:tcBorders>
                  <w:hideMark/>
                </w:tcPr>
                <w:p w14:paraId="50E62473" w14:textId="77777777" w:rsidR="00967792" w:rsidRPr="00612BF6" w:rsidRDefault="00967792" w:rsidP="00612BF6">
                  <w:pPr>
                    <w:spacing w:before="20" w:after="20"/>
                    <w:rPr>
                      <w:sz w:val="20"/>
                      <w:szCs w:val="20"/>
                      <w:lang w:val="es-ES"/>
                    </w:rPr>
                  </w:pPr>
                  <w:r w:rsidRPr="00612BF6">
                    <w:rPr>
                      <w:sz w:val="20"/>
                      <w:szCs w:val="20"/>
                      <w:lang w:val="es-ES"/>
                    </w:rPr>
                    <w:t>3 dB</w:t>
                  </w:r>
                </w:p>
              </w:tc>
            </w:tr>
            <w:tr w:rsidR="00967792" w:rsidRPr="00A61288" w14:paraId="502CA996" w14:textId="77777777" w:rsidTr="00070ACF">
              <w:trPr>
                <w:jc w:val="center"/>
              </w:trPr>
              <w:tc>
                <w:tcPr>
                  <w:tcW w:w="3441" w:type="dxa"/>
                  <w:tcBorders>
                    <w:top w:val="single" w:sz="4" w:space="0" w:color="auto"/>
                    <w:left w:val="single" w:sz="4" w:space="0" w:color="auto"/>
                    <w:bottom w:val="single" w:sz="4" w:space="0" w:color="auto"/>
                    <w:right w:val="single" w:sz="4" w:space="0" w:color="auto"/>
                  </w:tcBorders>
                  <w:hideMark/>
                </w:tcPr>
                <w:p w14:paraId="347C4F53" w14:textId="77777777" w:rsidR="00967792" w:rsidRPr="00612BF6" w:rsidRDefault="00967792" w:rsidP="00612BF6">
                  <w:pPr>
                    <w:spacing w:before="20" w:after="20"/>
                    <w:rPr>
                      <w:sz w:val="20"/>
                      <w:szCs w:val="20"/>
                      <w:lang w:val="es-ES"/>
                    </w:rPr>
                  </w:pPr>
                  <w:r w:rsidRPr="00612BF6">
                    <w:rPr>
                      <w:sz w:val="20"/>
                      <w:szCs w:val="20"/>
                      <w:lang w:val="es-ES"/>
                    </w:rPr>
                    <w:t>Control automático de ganancia</w:t>
                  </w:r>
                </w:p>
              </w:tc>
              <w:tc>
                <w:tcPr>
                  <w:tcW w:w="2600" w:type="dxa"/>
                  <w:tcBorders>
                    <w:top w:val="single" w:sz="4" w:space="0" w:color="auto"/>
                    <w:left w:val="single" w:sz="4" w:space="0" w:color="auto"/>
                    <w:bottom w:val="single" w:sz="4" w:space="0" w:color="auto"/>
                    <w:right w:val="single" w:sz="4" w:space="0" w:color="auto"/>
                  </w:tcBorders>
                </w:tcPr>
                <w:p w14:paraId="1FFBE371" w14:textId="77777777" w:rsidR="00967792" w:rsidRPr="00612BF6" w:rsidRDefault="00967792" w:rsidP="00612BF6">
                  <w:pPr>
                    <w:spacing w:before="20" w:after="20"/>
                    <w:rPr>
                      <w:sz w:val="20"/>
                      <w:szCs w:val="20"/>
                      <w:lang w:val="es-ES"/>
                    </w:rPr>
                  </w:pPr>
                </w:p>
              </w:tc>
              <w:tc>
                <w:tcPr>
                  <w:tcW w:w="2599" w:type="dxa"/>
                  <w:tcBorders>
                    <w:top w:val="single" w:sz="4" w:space="0" w:color="auto"/>
                    <w:left w:val="single" w:sz="4" w:space="0" w:color="auto"/>
                    <w:bottom w:val="single" w:sz="4" w:space="0" w:color="auto"/>
                    <w:right w:val="single" w:sz="4" w:space="0" w:color="auto"/>
                  </w:tcBorders>
                  <w:hideMark/>
                </w:tcPr>
                <w:p w14:paraId="1D513A0C" w14:textId="77777777" w:rsidR="00967792" w:rsidRPr="00612BF6" w:rsidRDefault="00967792" w:rsidP="00612BF6">
                  <w:pPr>
                    <w:spacing w:before="20" w:after="20"/>
                    <w:rPr>
                      <w:sz w:val="20"/>
                      <w:szCs w:val="20"/>
                      <w:lang w:val="es-ES"/>
                    </w:rPr>
                  </w:pPr>
                  <w:r w:rsidRPr="00612BF6">
                    <w:rPr>
                      <w:sz w:val="20"/>
                      <w:szCs w:val="20"/>
                      <w:lang w:val="es-ES"/>
                    </w:rPr>
                    <w:t>15 dB</w:t>
                  </w:r>
                </w:p>
              </w:tc>
            </w:tr>
            <w:tr w:rsidR="00967792" w:rsidRPr="00A61288" w14:paraId="6E4F2861" w14:textId="77777777" w:rsidTr="00070ACF">
              <w:trPr>
                <w:jc w:val="center"/>
              </w:trPr>
              <w:tc>
                <w:tcPr>
                  <w:tcW w:w="3441" w:type="dxa"/>
                  <w:tcBorders>
                    <w:top w:val="single" w:sz="4" w:space="0" w:color="auto"/>
                    <w:left w:val="single" w:sz="4" w:space="0" w:color="auto"/>
                    <w:bottom w:val="single" w:sz="4" w:space="0" w:color="auto"/>
                    <w:right w:val="single" w:sz="4" w:space="0" w:color="auto"/>
                  </w:tcBorders>
                  <w:hideMark/>
                </w:tcPr>
                <w:p w14:paraId="5C72C76B" w14:textId="77777777" w:rsidR="00967792" w:rsidRPr="00612BF6" w:rsidRDefault="00967792" w:rsidP="00612BF6">
                  <w:pPr>
                    <w:spacing w:before="20" w:after="20"/>
                    <w:rPr>
                      <w:sz w:val="20"/>
                      <w:szCs w:val="20"/>
                      <w:lang w:val="es-ES"/>
                    </w:rPr>
                  </w:pPr>
                  <w:r w:rsidRPr="00612BF6">
                    <w:rPr>
                      <w:sz w:val="20"/>
                      <w:szCs w:val="20"/>
                      <w:lang w:val="es-ES"/>
                    </w:rPr>
                    <w:t>Temperatura de ruido</w:t>
                  </w:r>
                </w:p>
              </w:tc>
              <w:tc>
                <w:tcPr>
                  <w:tcW w:w="2600" w:type="dxa"/>
                  <w:tcBorders>
                    <w:top w:val="single" w:sz="4" w:space="0" w:color="auto"/>
                    <w:left w:val="single" w:sz="4" w:space="0" w:color="auto"/>
                    <w:bottom w:val="single" w:sz="4" w:space="0" w:color="auto"/>
                    <w:right w:val="single" w:sz="4" w:space="0" w:color="auto"/>
                  </w:tcBorders>
                </w:tcPr>
                <w:p w14:paraId="3A592B3D" w14:textId="77777777" w:rsidR="00967792" w:rsidRPr="00612BF6" w:rsidRDefault="00967792" w:rsidP="00612BF6">
                  <w:pPr>
                    <w:spacing w:before="20" w:after="20"/>
                    <w:rPr>
                      <w:sz w:val="20"/>
                      <w:szCs w:val="20"/>
                      <w:lang w:val="es-ES"/>
                    </w:rPr>
                  </w:pPr>
                </w:p>
              </w:tc>
              <w:tc>
                <w:tcPr>
                  <w:tcW w:w="2599" w:type="dxa"/>
                  <w:tcBorders>
                    <w:top w:val="single" w:sz="4" w:space="0" w:color="auto"/>
                    <w:left w:val="single" w:sz="4" w:space="0" w:color="auto"/>
                    <w:bottom w:val="single" w:sz="4" w:space="0" w:color="auto"/>
                    <w:right w:val="single" w:sz="4" w:space="0" w:color="auto"/>
                  </w:tcBorders>
                  <w:hideMark/>
                </w:tcPr>
                <w:p w14:paraId="09DC950F" w14:textId="77777777" w:rsidR="00967792" w:rsidRPr="00612BF6" w:rsidRDefault="00967792" w:rsidP="00612BF6">
                  <w:pPr>
                    <w:spacing w:before="20" w:after="20"/>
                    <w:rPr>
                      <w:sz w:val="20"/>
                      <w:szCs w:val="20"/>
                      <w:lang w:val="es-ES"/>
                    </w:rPr>
                  </w:pPr>
                  <w:r w:rsidRPr="00612BF6">
                    <w:rPr>
                      <w:sz w:val="20"/>
                      <w:szCs w:val="20"/>
                      <w:lang w:val="es-ES"/>
                    </w:rPr>
                    <w:t>600 K</w:t>
                  </w:r>
                </w:p>
              </w:tc>
            </w:tr>
            <w:tr w:rsidR="00967792" w:rsidRPr="00A61288" w14:paraId="2BD6E3C2" w14:textId="77777777" w:rsidTr="00070ACF">
              <w:trPr>
                <w:jc w:val="center"/>
              </w:trPr>
              <w:tc>
                <w:tcPr>
                  <w:tcW w:w="3441" w:type="dxa"/>
                  <w:tcBorders>
                    <w:top w:val="single" w:sz="4" w:space="0" w:color="auto"/>
                    <w:left w:val="single" w:sz="4" w:space="0" w:color="auto"/>
                    <w:bottom w:val="single" w:sz="4" w:space="0" w:color="auto"/>
                    <w:right w:val="single" w:sz="4" w:space="0" w:color="auto"/>
                  </w:tcBorders>
                  <w:hideMark/>
                </w:tcPr>
                <w:p w14:paraId="6DCCF976" w14:textId="77777777" w:rsidR="00967792" w:rsidRPr="00612BF6" w:rsidRDefault="00967792" w:rsidP="00612BF6">
                  <w:pPr>
                    <w:spacing w:before="20" w:after="20"/>
                    <w:rPr>
                      <w:sz w:val="20"/>
                      <w:szCs w:val="20"/>
                      <w:lang w:val="es-ES"/>
                    </w:rPr>
                  </w:pPr>
                  <w:r w:rsidRPr="00612BF6">
                    <w:rPr>
                      <w:sz w:val="20"/>
                      <w:szCs w:val="20"/>
                      <w:lang w:val="es-ES"/>
                    </w:rPr>
                    <w:t>Código de grupo de operación exclusivo</w:t>
                  </w:r>
                </w:p>
              </w:tc>
              <w:tc>
                <w:tcPr>
                  <w:tcW w:w="2600" w:type="dxa"/>
                  <w:tcBorders>
                    <w:top w:val="single" w:sz="4" w:space="0" w:color="auto"/>
                    <w:left w:val="single" w:sz="4" w:space="0" w:color="auto"/>
                    <w:bottom w:val="single" w:sz="4" w:space="0" w:color="auto"/>
                    <w:right w:val="single" w:sz="4" w:space="0" w:color="auto"/>
                  </w:tcBorders>
                  <w:hideMark/>
                </w:tcPr>
                <w:p w14:paraId="6B8B172E" w14:textId="77777777" w:rsidR="00967792" w:rsidRPr="00612BF6" w:rsidRDefault="00967792" w:rsidP="00612BF6">
                  <w:pPr>
                    <w:spacing w:before="20" w:after="20"/>
                    <w:rPr>
                      <w:sz w:val="20"/>
                      <w:szCs w:val="20"/>
                      <w:lang w:val="es-ES"/>
                    </w:rPr>
                  </w:pPr>
                  <w:r w:rsidRPr="00612BF6">
                    <w:rPr>
                      <w:sz w:val="20"/>
                      <w:szCs w:val="20"/>
                      <w:lang w:val="es-ES"/>
                    </w:rPr>
                    <w:t>E5</w:t>
                  </w:r>
                </w:p>
              </w:tc>
              <w:tc>
                <w:tcPr>
                  <w:tcW w:w="2599" w:type="dxa"/>
                  <w:tcBorders>
                    <w:top w:val="single" w:sz="4" w:space="0" w:color="auto"/>
                    <w:left w:val="single" w:sz="4" w:space="0" w:color="auto"/>
                    <w:bottom w:val="single" w:sz="4" w:space="0" w:color="auto"/>
                    <w:right w:val="single" w:sz="4" w:space="0" w:color="auto"/>
                  </w:tcBorders>
                  <w:hideMark/>
                </w:tcPr>
                <w:p w14:paraId="52052E87" w14:textId="77777777" w:rsidR="00967792" w:rsidRPr="00612BF6" w:rsidRDefault="00967792" w:rsidP="00612BF6">
                  <w:pPr>
                    <w:spacing w:before="20" w:after="20"/>
                    <w:rPr>
                      <w:sz w:val="20"/>
                      <w:szCs w:val="20"/>
                      <w:lang w:val="es-ES"/>
                    </w:rPr>
                  </w:pPr>
                  <w:r w:rsidRPr="00612BF6">
                    <w:rPr>
                      <w:sz w:val="20"/>
                      <w:szCs w:val="20"/>
                      <w:lang w:val="es-ES"/>
                    </w:rPr>
                    <w:t>E5</w:t>
                  </w:r>
                </w:p>
              </w:tc>
            </w:tr>
          </w:tbl>
          <w:p w14:paraId="6DEC66D6" w14:textId="77777777" w:rsidR="00967792" w:rsidRPr="00A61288" w:rsidRDefault="00967792" w:rsidP="00F65386">
            <w:pPr>
              <w:keepNext/>
              <w:keepLines/>
              <w:spacing w:before="40" w:after="40"/>
              <w:jc w:val="center"/>
              <w:rPr>
                <w:sz w:val="22"/>
                <w:lang w:val="es-ES"/>
              </w:rPr>
            </w:pPr>
            <w:r w:rsidRPr="00A61288">
              <w:rPr>
                <w:sz w:val="22"/>
                <w:lang w:val="es-ES"/>
              </w:rPr>
              <w:lastRenderedPageBreak/>
              <w:t>CUADRO 2</w:t>
            </w:r>
          </w:p>
          <w:p w14:paraId="21320606" w14:textId="77777777" w:rsidR="00967792" w:rsidRPr="00A61288" w:rsidRDefault="00967792" w:rsidP="00F65386">
            <w:pPr>
              <w:keepNext/>
              <w:keepLines/>
              <w:spacing w:before="40" w:after="40"/>
              <w:jc w:val="center"/>
              <w:rPr>
                <w:b/>
                <w:sz w:val="22"/>
                <w:lang w:val="es-ES"/>
              </w:rPr>
            </w:pPr>
            <w:r w:rsidRPr="00A61288">
              <w:rPr>
                <w:b/>
                <w:sz w:val="22"/>
                <w:lang w:val="es-ES"/>
              </w:rPr>
              <w:t>Haces de la red de satélites BULSAT-BSS-1.2W-W cuyas</w:t>
            </w:r>
            <w:r w:rsidRPr="00A61288">
              <w:rPr>
                <w:b/>
                <w:sz w:val="22"/>
                <w:lang w:val="es-ES"/>
              </w:rPr>
              <w:br/>
              <w:t>asignaciones de frecuencias se han de suprimir</w:t>
            </w:r>
          </w:p>
          <w:tbl>
            <w:tblPr>
              <w:tblStyle w:val="TableGrid"/>
              <w:tblW w:w="4500" w:type="pct"/>
              <w:jc w:val="center"/>
              <w:tblLayout w:type="fixed"/>
              <w:tblLook w:val="04A0" w:firstRow="1" w:lastRow="0" w:firstColumn="1" w:lastColumn="0" w:noHBand="0" w:noVBand="1"/>
            </w:tblPr>
            <w:tblGrid>
              <w:gridCol w:w="2082"/>
              <w:gridCol w:w="984"/>
              <w:gridCol w:w="1554"/>
              <w:gridCol w:w="998"/>
            </w:tblGrid>
            <w:tr w:rsidR="00967792" w:rsidRPr="00612BF6" w14:paraId="3D2289A8" w14:textId="77777777" w:rsidTr="006D6884">
              <w:trPr>
                <w:jc w:val="center"/>
              </w:trPr>
              <w:tc>
                <w:tcPr>
                  <w:tcW w:w="2212" w:type="dxa"/>
                  <w:tcBorders>
                    <w:top w:val="single" w:sz="4" w:space="0" w:color="auto"/>
                    <w:left w:val="single" w:sz="4" w:space="0" w:color="auto"/>
                    <w:bottom w:val="single" w:sz="4" w:space="0" w:color="auto"/>
                    <w:right w:val="single" w:sz="4" w:space="0" w:color="auto"/>
                  </w:tcBorders>
                  <w:hideMark/>
                </w:tcPr>
                <w:p w14:paraId="171DC569" w14:textId="77777777" w:rsidR="00967792" w:rsidRPr="00612BF6" w:rsidRDefault="00967792" w:rsidP="00612BF6">
                  <w:pPr>
                    <w:spacing w:before="40" w:after="40"/>
                    <w:jc w:val="center"/>
                    <w:rPr>
                      <w:b/>
                      <w:sz w:val="20"/>
                      <w:szCs w:val="20"/>
                      <w:lang w:val="es-ES"/>
                    </w:rPr>
                  </w:pPr>
                  <w:r w:rsidRPr="00612BF6">
                    <w:rPr>
                      <w:b/>
                      <w:sz w:val="20"/>
                      <w:szCs w:val="20"/>
                      <w:lang w:val="es-ES"/>
                    </w:rPr>
                    <w:t>Nombre del satélite</w:t>
                  </w:r>
                </w:p>
              </w:tc>
              <w:tc>
                <w:tcPr>
                  <w:tcW w:w="1036" w:type="dxa"/>
                  <w:tcBorders>
                    <w:top w:val="single" w:sz="4" w:space="0" w:color="auto"/>
                    <w:left w:val="single" w:sz="4" w:space="0" w:color="auto"/>
                    <w:bottom w:val="single" w:sz="4" w:space="0" w:color="auto"/>
                    <w:right w:val="single" w:sz="4" w:space="0" w:color="auto"/>
                  </w:tcBorders>
                  <w:hideMark/>
                </w:tcPr>
                <w:p w14:paraId="6C2B0D95" w14:textId="77777777" w:rsidR="00967792" w:rsidRPr="00612BF6" w:rsidRDefault="00967792" w:rsidP="00612BF6">
                  <w:pPr>
                    <w:spacing w:before="40" w:after="40"/>
                    <w:jc w:val="center"/>
                    <w:rPr>
                      <w:b/>
                      <w:sz w:val="20"/>
                      <w:szCs w:val="20"/>
                      <w:lang w:val="es-ES"/>
                    </w:rPr>
                  </w:pPr>
                  <w:r w:rsidRPr="00612BF6">
                    <w:rPr>
                      <w:b/>
                      <w:sz w:val="20"/>
                      <w:szCs w:val="20"/>
                      <w:lang w:val="es-ES"/>
                    </w:rPr>
                    <w:t>Posición orbital</w:t>
                  </w:r>
                </w:p>
              </w:tc>
              <w:tc>
                <w:tcPr>
                  <w:tcW w:w="1646" w:type="dxa"/>
                  <w:tcBorders>
                    <w:top w:val="single" w:sz="4" w:space="0" w:color="auto"/>
                    <w:left w:val="single" w:sz="4" w:space="0" w:color="auto"/>
                    <w:bottom w:val="single" w:sz="4" w:space="0" w:color="auto"/>
                    <w:right w:val="single" w:sz="4" w:space="0" w:color="auto"/>
                  </w:tcBorders>
                  <w:hideMark/>
                </w:tcPr>
                <w:p w14:paraId="4AB4EF0F" w14:textId="77777777" w:rsidR="00967792" w:rsidRPr="00612BF6" w:rsidRDefault="00967792" w:rsidP="00612BF6">
                  <w:pPr>
                    <w:spacing w:before="40" w:after="40"/>
                    <w:jc w:val="center"/>
                    <w:rPr>
                      <w:b/>
                      <w:sz w:val="20"/>
                      <w:szCs w:val="20"/>
                      <w:lang w:val="es-ES"/>
                    </w:rPr>
                  </w:pPr>
                  <w:r w:rsidRPr="00612BF6">
                    <w:rPr>
                      <w:b/>
                      <w:sz w:val="20"/>
                      <w:szCs w:val="20"/>
                      <w:lang w:val="es-ES"/>
                    </w:rPr>
                    <w:t>Sección Especial (Parte B)</w:t>
                  </w:r>
                </w:p>
              </w:tc>
              <w:tc>
                <w:tcPr>
                  <w:tcW w:w="1052" w:type="dxa"/>
                  <w:tcBorders>
                    <w:top w:val="single" w:sz="4" w:space="0" w:color="auto"/>
                    <w:left w:val="single" w:sz="4" w:space="0" w:color="auto"/>
                    <w:bottom w:val="single" w:sz="4" w:space="0" w:color="auto"/>
                    <w:right w:val="single" w:sz="4" w:space="0" w:color="auto"/>
                  </w:tcBorders>
                  <w:hideMark/>
                </w:tcPr>
                <w:p w14:paraId="1A43FBE0" w14:textId="77777777" w:rsidR="00967792" w:rsidRPr="00612BF6" w:rsidRDefault="00967792" w:rsidP="00612BF6">
                  <w:pPr>
                    <w:spacing w:before="40" w:after="40"/>
                    <w:jc w:val="center"/>
                    <w:rPr>
                      <w:b/>
                      <w:sz w:val="20"/>
                      <w:szCs w:val="20"/>
                      <w:lang w:val="es-ES"/>
                    </w:rPr>
                  </w:pPr>
                  <w:r w:rsidRPr="00612BF6">
                    <w:rPr>
                      <w:b/>
                      <w:sz w:val="20"/>
                      <w:szCs w:val="20"/>
                      <w:lang w:val="es-ES"/>
                    </w:rPr>
                    <w:t>Haz</w:t>
                  </w:r>
                </w:p>
              </w:tc>
            </w:tr>
            <w:tr w:rsidR="006D6884" w:rsidRPr="00612BF6" w14:paraId="27BF5B9A" w14:textId="77777777" w:rsidTr="006D6884">
              <w:trPr>
                <w:jc w:val="center"/>
              </w:trPr>
              <w:tc>
                <w:tcPr>
                  <w:tcW w:w="2212" w:type="dxa"/>
                  <w:tcBorders>
                    <w:top w:val="single" w:sz="4" w:space="0" w:color="auto"/>
                    <w:left w:val="single" w:sz="4" w:space="0" w:color="auto"/>
                    <w:bottom w:val="single" w:sz="4" w:space="0" w:color="auto"/>
                    <w:right w:val="single" w:sz="4" w:space="0" w:color="auto"/>
                  </w:tcBorders>
                  <w:hideMark/>
                </w:tcPr>
                <w:p w14:paraId="7107BE3B" w14:textId="77777777" w:rsidR="006D6884" w:rsidRPr="00612BF6" w:rsidRDefault="006D6884" w:rsidP="006D6884">
                  <w:pPr>
                    <w:spacing w:before="20" w:after="20"/>
                    <w:jc w:val="center"/>
                    <w:rPr>
                      <w:sz w:val="20"/>
                      <w:szCs w:val="20"/>
                      <w:lang w:val="es-ES"/>
                    </w:rPr>
                  </w:pPr>
                  <w:r w:rsidRPr="00612BF6">
                    <w:rPr>
                      <w:sz w:val="20"/>
                      <w:szCs w:val="20"/>
                      <w:lang w:val="es-ES"/>
                    </w:rPr>
                    <w:t>BULSAT-BSS-1.2W-W</w:t>
                  </w:r>
                </w:p>
              </w:tc>
              <w:tc>
                <w:tcPr>
                  <w:tcW w:w="1036" w:type="dxa"/>
                  <w:tcBorders>
                    <w:top w:val="single" w:sz="4" w:space="0" w:color="auto"/>
                    <w:left w:val="single" w:sz="4" w:space="0" w:color="auto"/>
                    <w:bottom w:val="single" w:sz="4" w:space="0" w:color="auto"/>
                    <w:right w:val="single" w:sz="4" w:space="0" w:color="auto"/>
                  </w:tcBorders>
                  <w:hideMark/>
                </w:tcPr>
                <w:p w14:paraId="5119D338" w14:textId="77777777" w:rsidR="006D6884" w:rsidRPr="00612BF6" w:rsidRDefault="006D6884" w:rsidP="006D6884">
                  <w:pPr>
                    <w:spacing w:before="20" w:after="20"/>
                    <w:jc w:val="center"/>
                    <w:rPr>
                      <w:sz w:val="20"/>
                      <w:szCs w:val="20"/>
                      <w:lang w:val="es-ES"/>
                    </w:rPr>
                  </w:pPr>
                  <w:r w:rsidRPr="00612BF6">
                    <w:rPr>
                      <w:sz w:val="20"/>
                      <w:szCs w:val="20"/>
                      <w:lang w:val="es-ES"/>
                    </w:rPr>
                    <w:t>1,9° E</w:t>
                  </w:r>
                </w:p>
              </w:tc>
              <w:tc>
                <w:tcPr>
                  <w:tcW w:w="1646" w:type="dxa"/>
                  <w:tcBorders>
                    <w:top w:val="single" w:sz="4" w:space="0" w:color="auto"/>
                    <w:left w:val="single" w:sz="4" w:space="0" w:color="auto"/>
                    <w:right w:val="single" w:sz="4" w:space="0" w:color="auto"/>
                  </w:tcBorders>
                  <w:hideMark/>
                </w:tcPr>
                <w:p w14:paraId="66C8F9DC" w14:textId="77777777" w:rsidR="006D6884" w:rsidRPr="00612BF6" w:rsidRDefault="006D6884" w:rsidP="006D6884">
                  <w:pPr>
                    <w:spacing w:before="20" w:after="20"/>
                    <w:jc w:val="center"/>
                    <w:rPr>
                      <w:sz w:val="20"/>
                      <w:szCs w:val="20"/>
                      <w:lang w:val="es-ES"/>
                    </w:rPr>
                  </w:pPr>
                  <w:r w:rsidRPr="00612BF6">
                    <w:rPr>
                      <w:sz w:val="20"/>
                      <w:szCs w:val="20"/>
                      <w:lang w:val="es-ES"/>
                    </w:rPr>
                    <w:t>AP30/E/599</w:t>
                  </w:r>
                </w:p>
              </w:tc>
              <w:tc>
                <w:tcPr>
                  <w:tcW w:w="1052" w:type="dxa"/>
                  <w:tcBorders>
                    <w:top w:val="single" w:sz="4" w:space="0" w:color="auto"/>
                    <w:left w:val="single" w:sz="4" w:space="0" w:color="auto"/>
                    <w:right w:val="single" w:sz="4" w:space="0" w:color="auto"/>
                  </w:tcBorders>
                  <w:hideMark/>
                </w:tcPr>
                <w:p w14:paraId="47266A0D" w14:textId="77777777" w:rsidR="006D6884" w:rsidRPr="00612BF6" w:rsidRDefault="006D6884" w:rsidP="006D6884">
                  <w:pPr>
                    <w:spacing w:before="20" w:after="20"/>
                    <w:jc w:val="center"/>
                    <w:rPr>
                      <w:sz w:val="20"/>
                      <w:szCs w:val="20"/>
                      <w:lang w:val="es-ES"/>
                    </w:rPr>
                  </w:pPr>
                  <w:r w:rsidRPr="00612BF6">
                    <w:rPr>
                      <w:sz w:val="20"/>
                      <w:szCs w:val="20"/>
                      <w:lang w:val="es-ES"/>
                    </w:rPr>
                    <w:t>CEED</w:t>
                  </w:r>
                </w:p>
              </w:tc>
            </w:tr>
          </w:tbl>
          <w:p w14:paraId="1A0E43D7" w14:textId="77777777" w:rsidR="00967792" w:rsidRPr="00A61288" w:rsidRDefault="00967792" w:rsidP="006D6884">
            <w:pPr>
              <w:spacing w:before="40" w:after="40"/>
              <w:rPr>
                <w:sz w:val="22"/>
                <w:lang w:val="es-ES"/>
              </w:rPr>
            </w:pPr>
          </w:p>
          <w:tbl>
            <w:tblPr>
              <w:tblStyle w:val="TableGrid"/>
              <w:tblW w:w="9629" w:type="dxa"/>
              <w:tblLayout w:type="fixed"/>
              <w:tblLook w:val="04A0" w:firstRow="1" w:lastRow="0" w:firstColumn="1" w:lastColumn="0" w:noHBand="0" w:noVBand="1"/>
            </w:tblPr>
            <w:tblGrid>
              <w:gridCol w:w="3212"/>
              <w:gridCol w:w="6417"/>
            </w:tblGrid>
            <w:tr w:rsidR="00967792" w:rsidRPr="00A61288" w14:paraId="73EED96F" w14:textId="77777777" w:rsidTr="0025704A">
              <w:tc>
                <w:tcPr>
                  <w:tcW w:w="3212" w:type="dxa"/>
                  <w:tcBorders>
                    <w:top w:val="single" w:sz="4" w:space="0" w:color="auto"/>
                    <w:left w:val="single" w:sz="4" w:space="0" w:color="auto"/>
                    <w:bottom w:val="single" w:sz="4" w:space="0" w:color="auto"/>
                    <w:right w:val="single" w:sz="4" w:space="0" w:color="auto"/>
                  </w:tcBorders>
                  <w:hideMark/>
                </w:tcPr>
                <w:p w14:paraId="304D5ADC" w14:textId="77777777" w:rsidR="00967792" w:rsidRPr="00A61288" w:rsidRDefault="00967792" w:rsidP="00B53355">
                  <w:pPr>
                    <w:spacing w:before="40" w:after="40"/>
                    <w:rPr>
                      <w:sz w:val="22"/>
                      <w:lang w:val="es-ES"/>
                    </w:rPr>
                  </w:pPr>
                  <w:r w:rsidRPr="00A61288">
                    <w:rPr>
                      <w:sz w:val="22"/>
                      <w:lang w:val="es-ES"/>
                    </w:rPr>
                    <w:t>Haz de enlace descendente CEED</w:t>
                  </w:r>
                </w:p>
              </w:tc>
              <w:tc>
                <w:tcPr>
                  <w:tcW w:w="6417" w:type="dxa"/>
                  <w:tcBorders>
                    <w:top w:val="single" w:sz="4" w:space="0" w:color="auto"/>
                    <w:left w:val="single" w:sz="4" w:space="0" w:color="auto"/>
                    <w:bottom w:val="single" w:sz="4" w:space="0" w:color="auto"/>
                    <w:right w:val="single" w:sz="4" w:space="0" w:color="auto"/>
                  </w:tcBorders>
                  <w:hideMark/>
                </w:tcPr>
                <w:p w14:paraId="22A375E7" w14:textId="77777777" w:rsidR="00967792" w:rsidRPr="00A61288" w:rsidRDefault="00967792" w:rsidP="00B53355">
                  <w:pPr>
                    <w:spacing w:before="40" w:after="40"/>
                    <w:rPr>
                      <w:sz w:val="22"/>
                      <w:lang w:val="es-ES"/>
                    </w:rPr>
                  </w:pPr>
                  <w:r w:rsidRPr="00A61288">
                    <w:rPr>
                      <w:sz w:val="22"/>
                      <w:lang w:val="es-ES"/>
                    </w:rPr>
                    <w:t>Haz de enlace de conexión CER</w:t>
                  </w:r>
                </w:p>
              </w:tc>
            </w:tr>
            <w:tr w:rsidR="00967792" w:rsidRPr="00A61288" w14:paraId="1DE230E6" w14:textId="77777777" w:rsidTr="006D6884">
              <w:tc>
                <w:tcPr>
                  <w:tcW w:w="9629" w:type="dxa"/>
                  <w:gridSpan w:val="2"/>
                  <w:tcBorders>
                    <w:top w:val="single" w:sz="4" w:space="0" w:color="auto"/>
                    <w:left w:val="single" w:sz="4" w:space="0" w:color="auto"/>
                    <w:bottom w:val="single" w:sz="4" w:space="0" w:color="auto"/>
                    <w:right w:val="single" w:sz="4" w:space="0" w:color="auto"/>
                  </w:tcBorders>
                  <w:hideMark/>
                </w:tcPr>
                <w:p w14:paraId="2D187235" w14:textId="77777777" w:rsidR="00967792" w:rsidRPr="00A61288" w:rsidRDefault="00967792" w:rsidP="00B53355">
                  <w:pPr>
                    <w:spacing w:before="40" w:after="40"/>
                    <w:rPr>
                      <w:b/>
                      <w:bCs/>
                      <w:sz w:val="22"/>
                      <w:lang w:val="es-ES"/>
                    </w:rPr>
                  </w:pPr>
                  <w:r w:rsidRPr="00A61288">
                    <w:rPr>
                      <w:b/>
                      <w:bCs/>
                      <w:sz w:val="22"/>
                      <w:lang w:val="es-ES"/>
                    </w:rPr>
                    <w:t>Cobertura copolar</w:t>
                  </w:r>
                </w:p>
              </w:tc>
            </w:tr>
            <w:tr w:rsidR="00967792" w:rsidRPr="00A61288" w14:paraId="4F2979B7" w14:textId="77777777" w:rsidTr="0025704A">
              <w:tc>
                <w:tcPr>
                  <w:tcW w:w="3212" w:type="dxa"/>
                  <w:tcBorders>
                    <w:top w:val="single" w:sz="4" w:space="0" w:color="auto"/>
                    <w:left w:val="single" w:sz="4" w:space="0" w:color="auto"/>
                    <w:bottom w:val="single" w:sz="4" w:space="0" w:color="auto"/>
                    <w:right w:val="single" w:sz="4" w:space="0" w:color="auto"/>
                  </w:tcBorders>
                  <w:hideMark/>
                </w:tcPr>
                <w:p w14:paraId="097AB2A3" w14:textId="334E604C" w:rsidR="00612BF6" w:rsidRPr="00A61288" w:rsidRDefault="00967792" w:rsidP="00B53355">
                  <w:pPr>
                    <w:spacing w:before="40" w:after="40"/>
                    <w:rPr>
                      <w:sz w:val="22"/>
                      <w:lang w:val="es-ES"/>
                    </w:rPr>
                  </w:pPr>
                  <w:r w:rsidRPr="00A61288">
                    <w:rPr>
                      <w:noProof/>
                      <w:sz w:val="22"/>
                      <w:lang w:val="es-ES"/>
                    </w:rPr>
                    <w:drawing>
                      <wp:inline distT="0" distB="0" distL="0" distR="0" wp14:anchorId="74FBF3A6" wp14:editId="139580B9">
                        <wp:extent cx="1893600" cy="1893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825465" name="Picture 3"/>
                                <pic:cNvPicPr>
                                  <a:picLocks noChangeAspect="1" noChangeArrowheads="1"/>
                                </pic:cNvPicPr>
                              </pic:nvPicPr>
                              <pic:blipFill>
                                <a:blip r:embed="rId246" cstate="print">
                                  <a:extLst>
                                    <a:ext uri="{28A0092B-C50C-407E-A947-70E740481C1C}">
                                      <a14:useLocalDpi xmlns:a14="http://schemas.microsoft.com/office/drawing/2010/main" val="0"/>
                                    </a:ext>
                                  </a:extLst>
                                </a:blip>
                                <a:stretch>
                                  <a:fillRect/>
                                </a:stretch>
                              </pic:blipFill>
                              <pic:spPr bwMode="auto">
                                <a:xfrm>
                                  <a:off x="0" y="0"/>
                                  <a:ext cx="1893600" cy="1893600"/>
                                </a:xfrm>
                                <a:prstGeom prst="rect">
                                  <a:avLst/>
                                </a:prstGeom>
                                <a:noFill/>
                                <a:ln>
                                  <a:noFill/>
                                </a:ln>
                              </pic:spPr>
                            </pic:pic>
                          </a:graphicData>
                        </a:graphic>
                      </wp:inline>
                    </w:drawing>
                  </w:r>
                </w:p>
              </w:tc>
              <w:tc>
                <w:tcPr>
                  <w:tcW w:w="6417" w:type="dxa"/>
                  <w:tcBorders>
                    <w:top w:val="single" w:sz="4" w:space="0" w:color="auto"/>
                    <w:left w:val="single" w:sz="4" w:space="0" w:color="auto"/>
                    <w:bottom w:val="single" w:sz="4" w:space="0" w:color="auto"/>
                    <w:right w:val="single" w:sz="4" w:space="0" w:color="auto"/>
                  </w:tcBorders>
                  <w:hideMark/>
                </w:tcPr>
                <w:p w14:paraId="4323CAD7" w14:textId="77777777" w:rsidR="00967792" w:rsidRPr="00A61288" w:rsidRDefault="00967792" w:rsidP="00B53355">
                  <w:pPr>
                    <w:spacing w:before="40" w:after="40"/>
                    <w:rPr>
                      <w:sz w:val="22"/>
                      <w:lang w:val="es-ES"/>
                    </w:rPr>
                  </w:pPr>
                  <w:r w:rsidRPr="00A61288">
                    <w:rPr>
                      <w:noProof/>
                      <w:sz w:val="22"/>
                      <w:lang w:val="es-ES"/>
                    </w:rPr>
                    <w:drawing>
                      <wp:inline distT="0" distB="0" distL="0" distR="0" wp14:anchorId="3F08473C" wp14:editId="5D8182D0">
                        <wp:extent cx="1900800" cy="1897200"/>
                        <wp:effectExtent l="0" t="0" r="4445"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772465" name="Picture 1"/>
                                <pic:cNvPicPr>
                                  <a:picLocks noChangeAspect="1" noChangeArrowheads="1"/>
                                </pic:cNvPicPr>
                              </pic:nvPicPr>
                              <pic:blipFill>
                                <a:blip r:embed="rId247" cstate="print">
                                  <a:extLst>
                                    <a:ext uri="{28A0092B-C50C-407E-A947-70E740481C1C}">
                                      <a14:useLocalDpi xmlns:a14="http://schemas.microsoft.com/office/drawing/2010/main" val="0"/>
                                    </a:ext>
                                  </a:extLst>
                                </a:blip>
                                <a:stretch>
                                  <a:fillRect/>
                                </a:stretch>
                              </pic:blipFill>
                              <pic:spPr bwMode="auto">
                                <a:xfrm>
                                  <a:off x="0" y="0"/>
                                  <a:ext cx="1900800" cy="1897200"/>
                                </a:xfrm>
                                <a:prstGeom prst="rect">
                                  <a:avLst/>
                                </a:prstGeom>
                                <a:noFill/>
                                <a:ln>
                                  <a:noFill/>
                                </a:ln>
                              </pic:spPr>
                            </pic:pic>
                          </a:graphicData>
                        </a:graphic>
                      </wp:inline>
                    </w:drawing>
                  </w:r>
                </w:p>
              </w:tc>
            </w:tr>
            <w:tr w:rsidR="00967792" w:rsidRPr="00A61288" w14:paraId="7EB61976" w14:textId="77777777" w:rsidTr="006D6884">
              <w:tc>
                <w:tcPr>
                  <w:tcW w:w="9629" w:type="dxa"/>
                  <w:gridSpan w:val="2"/>
                  <w:tcBorders>
                    <w:top w:val="single" w:sz="4" w:space="0" w:color="auto"/>
                    <w:left w:val="single" w:sz="4" w:space="0" w:color="auto"/>
                    <w:bottom w:val="single" w:sz="4" w:space="0" w:color="auto"/>
                    <w:right w:val="single" w:sz="4" w:space="0" w:color="auto"/>
                  </w:tcBorders>
                  <w:hideMark/>
                </w:tcPr>
                <w:p w14:paraId="052F32A2" w14:textId="77777777" w:rsidR="00967792" w:rsidRPr="00A61288" w:rsidRDefault="00967792" w:rsidP="006D6884">
                  <w:pPr>
                    <w:keepNext/>
                    <w:keepLines/>
                    <w:spacing w:before="40" w:after="40"/>
                    <w:rPr>
                      <w:b/>
                      <w:bCs/>
                      <w:sz w:val="22"/>
                      <w:lang w:val="es-ES"/>
                    </w:rPr>
                  </w:pPr>
                  <w:r w:rsidRPr="00A61288">
                    <w:rPr>
                      <w:b/>
                      <w:bCs/>
                      <w:sz w:val="22"/>
                      <w:lang w:val="es-ES"/>
                    </w:rPr>
                    <w:t>Cobertura con polarización cruzada</w:t>
                  </w:r>
                </w:p>
              </w:tc>
            </w:tr>
            <w:tr w:rsidR="00967792" w:rsidRPr="00A61288" w14:paraId="1F2303B6" w14:textId="77777777" w:rsidTr="0025704A">
              <w:tc>
                <w:tcPr>
                  <w:tcW w:w="3212" w:type="dxa"/>
                  <w:tcBorders>
                    <w:top w:val="single" w:sz="4" w:space="0" w:color="auto"/>
                    <w:left w:val="single" w:sz="4" w:space="0" w:color="auto"/>
                    <w:bottom w:val="single" w:sz="4" w:space="0" w:color="auto"/>
                    <w:right w:val="single" w:sz="4" w:space="0" w:color="auto"/>
                  </w:tcBorders>
                  <w:hideMark/>
                </w:tcPr>
                <w:p w14:paraId="2AFBAEF1" w14:textId="77777777" w:rsidR="00967792" w:rsidRPr="00A61288" w:rsidRDefault="00967792" w:rsidP="00B53355">
                  <w:pPr>
                    <w:spacing w:before="40" w:after="40"/>
                    <w:rPr>
                      <w:sz w:val="22"/>
                      <w:lang w:val="es-ES"/>
                    </w:rPr>
                  </w:pPr>
                  <w:r w:rsidRPr="00A61288">
                    <w:rPr>
                      <w:noProof/>
                      <w:sz w:val="22"/>
                      <w:lang w:val="es-ES"/>
                    </w:rPr>
                    <w:lastRenderedPageBreak/>
                    <w:drawing>
                      <wp:inline distT="0" distB="0" distL="0" distR="0" wp14:anchorId="42060E91" wp14:editId="7B74DE9F">
                        <wp:extent cx="1904400" cy="1900800"/>
                        <wp:effectExtent l="0" t="0" r="635"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756452" name="Picture 4"/>
                                <pic:cNvPicPr>
                                  <a:picLocks noChangeAspect="1" noChangeArrowheads="1"/>
                                </pic:cNvPicPr>
                              </pic:nvPicPr>
                              <pic:blipFill>
                                <a:blip r:embed="rId248" cstate="print">
                                  <a:extLst>
                                    <a:ext uri="{28A0092B-C50C-407E-A947-70E740481C1C}">
                                      <a14:useLocalDpi xmlns:a14="http://schemas.microsoft.com/office/drawing/2010/main" val="0"/>
                                    </a:ext>
                                  </a:extLst>
                                </a:blip>
                                <a:stretch>
                                  <a:fillRect/>
                                </a:stretch>
                              </pic:blipFill>
                              <pic:spPr bwMode="auto">
                                <a:xfrm>
                                  <a:off x="0" y="0"/>
                                  <a:ext cx="1904400" cy="1900800"/>
                                </a:xfrm>
                                <a:prstGeom prst="rect">
                                  <a:avLst/>
                                </a:prstGeom>
                                <a:noFill/>
                                <a:ln>
                                  <a:noFill/>
                                </a:ln>
                              </pic:spPr>
                            </pic:pic>
                          </a:graphicData>
                        </a:graphic>
                      </wp:inline>
                    </w:drawing>
                  </w:r>
                </w:p>
              </w:tc>
              <w:tc>
                <w:tcPr>
                  <w:tcW w:w="6417" w:type="dxa"/>
                  <w:tcBorders>
                    <w:top w:val="single" w:sz="4" w:space="0" w:color="auto"/>
                    <w:left w:val="single" w:sz="4" w:space="0" w:color="auto"/>
                    <w:bottom w:val="single" w:sz="4" w:space="0" w:color="auto"/>
                    <w:right w:val="single" w:sz="4" w:space="0" w:color="auto"/>
                  </w:tcBorders>
                  <w:hideMark/>
                </w:tcPr>
                <w:p w14:paraId="14731CC2" w14:textId="77777777" w:rsidR="00967792" w:rsidRPr="00A61288" w:rsidRDefault="00967792" w:rsidP="00B53355">
                  <w:pPr>
                    <w:spacing w:before="40" w:after="40"/>
                    <w:rPr>
                      <w:sz w:val="22"/>
                      <w:lang w:val="es-ES"/>
                    </w:rPr>
                  </w:pPr>
                  <w:r w:rsidRPr="00A61288">
                    <w:rPr>
                      <w:noProof/>
                      <w:sz w:val="22"/>
                      <w:lang w:val="es-ES"/>
                    </w:rPr>
                    <w:drawing>
                      <wp:inline distT="0" distB="0" distL="0" distR="0" wp14:anchorId="5B464A09" wp14:editId="752A8991">
                        <wp:extent cx="1843200" cy="1886400"/>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908697" name="Picture 2"/>
                                <pic:cNvPicPr>
                                  <a:picLocks noChangeAspect="1" noChangeArrowheads="1"/>
                                </pic:cNvPicPr>
                              </pic:nvPicPr>
                              <pic:blipFill>
                                <a:blip r:embed="rId249" cstate="print">
                                  <a:extLst>
                                    <a:ext uri="{28A0092B-C50C-407E-A947-70E740481C1C}">
                                      <a14:useLocalDpi xmlns:a14="http://schemas.microsoft.com/office/drawing/2010/main" val="0"/>
                                    </a:ext>
                                  </a:extLst>
                                </a:blip>
                                <a:stretch>
                                  <a:fillRect/>
                                </a:stretch>
                              </pic:blipFill>
                              <pic:spPr bwMode="auto">
                                <a:xfrm>
                                  <a:off x="0" y="0"/>
                                  <a:ext cx="1843200" cy="1886400"/>
                                </a:xfrm>
                                <a:prstGeom prst="rect">
                                  <a:avLst/>
                                </a:prstGeom>
                                <a:noFill/>
                                <a:ln>
                                  <a:noFill/>
                                </a:ln>
                              </pic:spPr>
                            </pic:pic>
                          </a:graphicData>
                        </a:graphic>
                      </wp:inline>
                    </w:drawing>
                  </w:r>
                </w:p>
              </w:tc>
            </w:tr>
          </w:tbl>
          <w:p w14:paraId="1D5230AA" w14:textId="77777777" w:rsidR="00967792" w:rsidRPr="00A61288" w:rsidRDefault="00967792" w:rsidP="00B53355">
            <w:pPr>
              <w:spacing w:before="40" w:after="40"/>
              <w:rPr>
                <w:i/>
                <w:sz w:val="22"/>
                <w:lang w:val="es-ES"/>
              </w:rPr>
            </w:pPr>
            <w:r w:rsidRPr="00A61288">
              <w:rPr>
                <w:i/>
                <w:sz w:val="22"/>
                <w:lang w:val="es-ES"/>
              </w:rPr>
              <w:t>Solicitud relativa a la red de satélites INSAT-EXK82.5E</w:t>
            </w:r>
          </w:p>
          <w:p w14:paraId="7521B189" w14:textId="77777777" w:rsidR="00967792" w:rsidRPr="00A61288" w:rsidRDefault="00967792" w:rsidP="00B53355">
            <w:pPr>
              <w:spacing w:before="40" w:after="40"/>
              <w:rPr>
                <w:sz w:val="22"/>
                <w:lang w:val="es-ES"/>
              </w:rPr>
            </w:pPr>
            <w:r w:rsidRPr="00A61288">
              <w:rPr>
                <w:sz w:val="22"/>
                <w:lang w:val="es-ES"/>
              </w:rPr>
              <w:t xml:space="preserve">La CMR-19 consideró la solicitud específica formulada por India en el Documento </w:t>
            </w:r>
            <w:hyperlink r:id="rId250" w:history="1">
              <w:r w:rsidRPr="00A61288">
                <w:rPr>
                  <w:rStyle w:val="Hyperlink"/>
                  <w:sz w:val="22"/>
                  <w:lang w:val="es-ES"/>
                </w:rPr>
                <w:t>92(Add.22)</w:t>
              </w:r>
            </w:hyperlink>
            <w:r w:rsidRPr="00A61288">
              <w:rPr>
                <w:sz w:val="22"/>
                <w:lang w:val="es-ES"/>
              </w:rPr>
              <w:t xml:space="preserve"> en relación con la prórroga del plazo reglamentario de puesta en servicio de la red de satélites INSAT</w:t>
            </w:r>
            <w:r w:rsidRPr="00A61288">
              <w:rPr>
                <w:sz w:val="22"/>
                <w:lang w:val="es-ES"/>
              </w:rPr>
              <w:noBreakHyphen/>
              <w:t>EXK82.5E. Habida cuenta de las cuestiones particulares planteadas en él, la CMR-19 decidió acceder a esta solicitud y encargó, en consecuencia, a la Oficina de Radiocomunicaciones:</w:t>
            </w:r>
          </w:p>
          <w:p w14:paraId="28A4D56C" w14:textId="77777777" w:rsidR="00967792" w:rsidRPr="00A61288" w:rsidRDefault="00967792" w:rsidP="005E4385">
            <w:pPr>
              <w:spacing w:before="40" w:after="40"/>
              <w:ind w:left="794" w:hanging="794"/>
              <w:rPr>
                <w:sz w:val="22"/>
                <w:lang w:val="es-ES"/>
              </w:rPr>
            </w:pPr>
            <w:r w:rsidRPr="00A61288">
              <w:rPr>
                <w:sz w:val="22"/>
                <w:lang w:val="es-ES"/>
              </w:rPr>
              <w:t>1)</w:t>
            </w:r>
            <w:r w:rsidRPr="00A61288">
              <w:rPr>
                <w:sz w:val="22"/>
                <w:lang w:val="es-ES"/>
              </w:rPr>
              <w:tab/>
              <w:t>que considere la prórroga del plazo reglamentario de puesta en servicio de las asignaciones de frecuencias la red de satélites INSAT-EXK82.5E del 30 de marzo de 2017 al 30 de junio de 2017;</w:t>
            </w:r>
          </w:p>
          <w:p w14:paraId="569C656D" w14:textId="77777777" w:rsidR="00967792" w:rsidRPr="00A61288" w:rsidRDefault="00967792" w:rsidP="005E4385">
            <w:pPr>
              <w:spacing w:before="40" w:after="40"/>
              <w:ind w:left="794" w:hanging="794"/>
              <w:rPr>
                <w:sz w:val="22"/>
                <w:lang w:val="es-ES"/>
              </w:rPr>
            </w:pPr>
            <w:r w:rsidRPr="00A61288">
              <w:rPr>
                <w:sz w:val="22"/>
                <w:lang w:val="es-ES"/>
              </w:rPr>
              <w:t>2)</w:t>
            </w:r>
            <w:r w:rsidRPr="00A61288">
              <w:rPr>
                <w:sz w:val="22"/>
                <w:lang w:val="es-ES"/>
              </w:rPr>
              <w:tab/>
              <w:t>que inscriba como fecha de puesta en servicio de dichas asignaciones de frecuencias el 30 de junio de 2017;</w:t>
            </w:r>
          </w:p>
          <w:p w14:paraId="48EBF498" w14:textId="7F3965CD" w:rsidR="00967792" w:rsidRPr="00A61288" w:rsidRDefault="00967792" w:rsidP="005E4385">
            <w:pPr>
              <w:spacing w:before="40" w:after="40"/>
              <w:ind w:left="794" w:hanging="794"/>
              <w:rPr>
                <w:sz w:val="22"/>
                <w:lang w:val="es-ES"/>
              </w:rPr>
            </w:pPr>
            <w:r w:rsidRPr="00A61288">
              <w:rPr>
                <w:sz w:val="22"/>
                <w:lang w:val="es-ES"/>
              </w:rPr>
              <w:t>3)</w:t>
            </w:r>
            <w:r w:rsidRPr="00A61288">
              <w:rPr>
                <w:sz w:val="22"/>
                <w:lang w:val="es-ES"/>
              </w:rPr>
              <w:tab/>
              <w:t>que inscriba como fecha suspensión de dichas asignaciones de frecuencias de acuerdo con el § 8.17 del Artículo 8 del Apéndice</w:t>
            </w:r>
            <w:r w:rsidR="0085397B">
              <w:rPr>
                <w:sz w:val="22"/>
                <w:lang w:val="es-ES"/>
              </w:rPr>
              <w:t> </w:t>
            </w:r>
            <w:r w:rsidRPr="00A61288">
              <w:rPr>
                <w:b/>
                <w:bCs/>
                <w:sz w:val="22"/>
                <w:lang w:val="es-ES"/>
              </w:rPr>
              <w:t>30B</w:t>
            </w:r>
            <w:r w:rsidRPr="00A61288">
              <w:rPr>
                <w:sz w:val="22"/>
                <w:lang w:val="es-ES"/>
              </w:rPr>
              <w:t xml:space="preserve"> el 3 de enero de 2018 (de manera que el periodo de suspensión de tres años al que se hace referencia en esa disposición finalice el 3 de enero de 2021);</w:t>
            </w:r>
          </w:p>
          <w:p w14:paraId="1F133793" w14:textId="77777777" w:rsidR="00967792" w:rsidRPr="00A61288" w:rsidRDefault="00967792" w:rsidP="005E4385">
            <w:pPr>
              <w:spacing w:before="40" w:after="40"/>
              <w:ind w:left="794" w:hanging="794"/>
              <w:rPr>
                <w:sz w:val="22"/>
                <w:lang w:val="es-ES"/>
              </w:rPr>
            </w:pPr>
            <w:r w:rsidRPr="00A61288">
              <w:rPr>
                <w:sz w:val="22"/>
                <w:lang w:val="es-ES"/>
              </w:rPr>
              <w:t>4)</w:t>
            </w:r>
            <w:r w:rsidRPr="00A61288">
              <w:rPr>
                <w:sz w:val="22"/>
                <w:lang w:val="es-ES"/>
              </w:rPr>
              <w:tab/>
              <w:t>y que tramite en consecuencia la Parte B y la Notificación de dichas asignaciones de frecuencias con una fecha de recepción oficial de 22 de noviembre de 2019.</w:t>
            </w:r>
          </w:p>
          <w:p w14:paraId="3F47B966" w14:textId="77777777" w:rsidR="00967792" w:rsidRPr="00A61288" w:rsidRDefault="00967792" w:rsidP="00B53355">
            <w:pPr>
              <w:spacing w:before="40" w:after="40"/>
              <w:rPr>
                <w:i/>
                <w:sz w:val="22"/>
                <w:lang w:val="es-ES"/>
              </w:rPr>
            </w:pPr>
            <w:r w:rsidRPr="00A61288">
              <w:rPr>
                <w:i/>
                <w:sz w:val="22"/>
                <w:lang w:val="es-ES"/>
              </w:rPr>
              <w:lastRenderedPageBreak/>
              <w:t>Solicitud relativa a la red de satélites KYPROS-SAT-3 (39° E)</w:t>
            </w:r>
          </w:p>
          <w:p w14:paraId="3DA06455" w14:textId="77777777" w:rsidR="00967792" w:rsidRPr="00A61288" w:rsidRDefault="00967792" w:rsidP="00B53355">
            <w:pPr>
              <w:spacing w:before="40" w:after="40"/>
              <w:rPr>
                <w:sz w:val="22"/>
                <w:lang w:val="es-ES"/>
              </w:rPr>
            </w:pPr>
            <w:r w:rsidRPr="00A61288">
              <w:rPr>
                <w:sz w:val="22"/>
                <w:lang w:val="es-ES"/>
              </w:rPr>
              <w:t xml:space="preserve">La CMR-19 consideró la solicitud específica formulada por Chipre en el Documento </w:t>
            </w:r>
            <w:hyperlink r:id="rId251" w:history="1">
              <w:r w:rsidRPr="00A61288">
                <w:rPr>
                  <w:rStyle w:val="Hyperlink"/>
                  <w:sz w:val="22"/>
                  <w:lang w:val="es-ES"/>
                </w:rPr>
                <w:t>48(Add.22)</w:t>
              </w:r>
            </w:hyperlink>
            <w:r w:rsidRPr="00A61288">
              <w:rPr>
                <w:sz w:val="22"/>
                <w:lang w:val="es-ES"/>
              </w:rPr>
              <w:t xml:space="preserve"> en relación con la puesta en servicio de la red de satélites KYPROS-SAT-3 en la posición orbital 39° E. Una vez solventadas las dificultades iniciales en relación con esta solicitud, la CMR</w:t>
            </w:r>
            <w:r w:rsidRPr="00A61288">
              <w:rPr>
                <w:sz w:val="22"/>
                <w:lang w:val="es-ES"/>
              </w:rPr>
              <w:noBreakHyphen/>
              <w:t xml:space="preserve">19 acordó a título excepcional fijar la fecha de puesta en servicio de las asignaciones de frecuencias a la red de satélites KYPROS-SAT-3 en el 7 de marzo de 2016. La CMR-19 señaló que esas asignaciones de frecuencias se suspendieron el 6 de junio de 2016 y que su funcionamiento se reanudó dentro del periodo de 3 años previsto en el número </w:t>
            </w:r>
            <w:r w:rsidRPr="00A61288">
              <w:rPr>
                <w:b/>
                <w:bCs/>
                <w:sz w:val="22"/>
                <w:lang w:val="es-ES"/>
              </w:rPr>
              <w:t>11.49</w:t>
            </w:r>
            <w:r w:rsidRPr="00A61288">
              <w:rPr>
                <w:sz w:val="22"/>
                <w:lang w:val="es-ES"/>
              </w:rPr>
              <w:t>.</w:t>
            </w:r>
          </w:p>
          <w:p w14:paraId="4D35E865" w14:textId="77777777" w:rsidR="00967792" w:rsidRPr="00A61288" w:rsidRDefault="00967792" w:rsidP="00B53355">
            <w:pPr>
              <w:spacing w:before="40" w:after="40"/>
              <w:rPr>
                <w:i/>
                <w:sz w:val="22"/>
                <w:lang w:val="es-ES"/>
              </w:rPr>
            </w:pPr>
            <w:r w:rsidRPr="00A61288">
              <w:rPr>
                <w:i/>
                <w:sz w:val="22"/>
                <w:lang w:val="es-ES"/>
              </w:rPr>
              <w:t>Solicitud relativa a la red de satélites PALAPA-C1-B (113° E)</w:t>
            </w:r>
          </w:p>
          <w:p w14:paraId="28214A87" w14:textId="1733356D" w:rsidR="00967792" w:rsidRPr="00A61288" w:rsidRDefault="00967792" w:rsidP="00B53355">
            <w:pPr>
              <w:spacing w:before="40" w:after="40"/>
              <w:rPr>
                <w:sz w:val="22"/>
                <w:lang w:val="es-ES"/>
              </w:rPr>
            </w:pPr>
            <w:r w:rsidRPr="00A61288">
              <w:rPr>
                <w:sz w:val="22"/>
                <w:lang w:val="es-ES"/>
              </w:rPr>
              <w:t xml:space="preserve">La CMR-19 consideró la solicitud específica formulada por Indonesia en el Documento </w:t>
            </w:r>
            <w:hyperlink r:id="rId252" w:history="1">
              <w:r w:rsidRPr="00A61288">
                <w:rPr>
                  <w:rStyle w:val="Hyperlink"/>
                  <w:sz w:val="22"/>
                  <w:lang w:val="es-ES"/>
                </w:rPr>
                <w:t>35(Add.25)</w:t>
              </w:r>
            </w:hyperlink>
            <w:r w:rsidRPr="00A61288">
              <w:rPr>
                <w:sz w:val="22"/>
                <w:lang w:val="es-ES"/>
              </w:rPr>
              <w:t xml:space="preserve"> en relación con la prórroga del plazo reglamentario para la puesta en servicio de las asignaciones de frecuencias </w:t>
            </w:r>
            <w:bookmarkStart w:id="100" w:name="_Hlk22224616"/>
            <w:r w:rsidRPr="00A61288">
              <w:rPr>
                <w:sz w:val="22"/>
                <w:lang w:val="es-ES"/>
              </w:rPr>
              <w:t xml:space="preserve">a la red de satélites </w:t>
            </w:r>
            <w:bookmarkEnd w:id="100"/>
            <w:r w:rsidRPr="00A61288">
              <w:rPr>
                <w:sz w:val="22"/>
                <w:lang w:val="es-ES"/>
              </w:rPr>
              <w:t>PALAPA-C1-B (113° E) en las bandas de frecuencias 11 452</w:t>
            </w:r>
            <w:r w:rsidRPr="00A61288">
              <w:rPr>
                <w:sz w:val="22"/>
                <w:lang w:val="es-ES"/>
              </w:rPr>
              <w:noBreakHyphen/>
              <w:t>11 678 MHz, 12 252-12 532 MHz, 13 758</w:t>
            </w:r>
            <w:r w:rsidRPr="00A61288">
              <w:rPr>
                <w:sz w:val="22"/>
                <w:lang w:val="es-ES"/>
              </w:rPr>
              <w:noBreakHyphen/>
              <w:t>13 984 MHz, 14 000</w:t>
            </w:r>
            <w:r w:rsidR="0085397B">
              <w:rPr>
                <w:sz w:val="22"/>
                <w:lang w:val="es-ES"/>
              </w:rPr>
              <w:noBreakHyphen/>
            </w:r>
            <w:r w:rsidRPr="00A61288">
              <w:rPr>
                <w:sz w:val="22"/>
                <w:lang w:val="es-ES"/>
              </w:rPr>
              <w:t>14 280 MHz del 6 de agosto de 2019 al 31 de julio de 2020. La CMR-19 accedió conceder esta prórroga limitada tras confirmar que se había completado para esta red de satélites toda la coordinación de frecuencias solicitada por otras administraciones durante la CMR-19.</w:t>
            </w:r>
          </w:p>
          <w:p w14:paraId="2034DCBC" w14:textId="77777777" w:rsidR="00967792" w:rsidRPr="00A61288" w:rsidRDefault="00967792" w:rsidP="00B53355">
            <w:pPr>
              <w:spacing w:before="40" w:after="40"/>
              <w:rPr>
                <w:i/>
                <w:sz w:val="22"/>
                <w:lang w:val="es-ES"/>
              </w:rPr>
            </w:pPr>
            <w:r w:rsidRPr="00A61288">
              <w:rPr>
                <w:i/>
                <w:sz w:val="22"/>
                <w:lang w:val="es-ES"/>
              </w:rPr>
              <w:t>Solicitud relativa a las redes de satélites MNG00000 y SANSAR-1 (113,6° E)</w:t>
            </w:r>
          </w:p>
          <w:p w14:paraId="2704DAE9" w14:textId="6E4052F7" w:rsidR="00967792" w:rsidRPr="00A61288" w:rsidRDefault="00967792" w:rsidP="00B53355">
            <w:pPr>
              <w:spacing w:before="40" w:after="40"/>
              <w:rPr>
                <w:sz w:val="22"/>
                <w:lang w:val="es-ES"/>
              </w:rPr>
            </w:pPr>
            <w:r w:rsidRPr="00A61288">
              <w:rPr>
                <w:sz w:val="22"/>
                <w:lang w:val="es-ES"/>
              </w:rPr>
              <w:t xml:space="preserve">La CMR-19 consideró la solicitud específica formulada por Mongolia en el Documento </w:t>
            </w:r>
            <w:hyperlink r:id="rId253" w:history="1">
              <w:r w:rsidRPr="00A61288">
                <w:rPr>
                  <w:rStyle w:val="Hyperlink"/>
                  <w:sz w:val="22"/>
                  <w:lang w:val="es-ES"/>
                </w:rPr>
                <w:t>164</w:t>
              </w:r>
            </w:hyperlink>
            <w:r w:rsidRPr="00A61288">
              <w:rPr>
                <w:sz w:val="22"/>
                <w:lang w:val="es-ES"/>
              </w:rPr>
              <w:t xml:space="preserve"> en relación con la situación de referencia del sistema satelital de Mongolia (113,6° E) en el Plan del SFS. La CMR-19 encarga a la Oficina de Radiocomunicaciones aplicar, en relación con las redes MNG00000 y SANSAR-1 de Mongolia, los criterios que figuran en el §</w:t>
            </w:r>
            <w:r w:rsidR="0085397B">
              <w:rPr>
                <w:sz w:val="22"/>
                <w:lang w:val="es-ES"/>
              </w:rPr>
              <w:t> </w:t>
            </w:r>
            <w:r w:rsidRPr="00A61288">
              <w:rPr>
                <w:sz w:val="22"/>
                <w:lang w:val="es-ES"/>
              </w:rPr>
              <w:t>2.1 del Anexo </w:t>
            </w:r>
            <w:r w:rsidRPr="00A61288">
              <w:rPr>
                <w:b/>
                <w:bCs/>
                <w:sz w:val="22"/>
                <w:lang w:val="es-ES"/>
              </w:rPr>
              <w:t>4</w:t>
            </w:r>
            <w:r w:rsidRPr="00A61288">
              <w:rPr>
                <w:sz w:val="22"/>
                <w:lang w:val="es-ES"/>
              </w:rPr>
              <w:t xml:space="preserve"> del Apéndice </w:t>
            </w:r>
            <w:r w:rsidRPr="00A61288">
              <w:rPr>
                <w:b/>
                <w:bCs/>
                <w:sz w:val="22"/>
                <w:lang w:val="es-ES"/>
              </w:rPr>
              <w:t>30B</w:t>
            </w:r>
            <w:r w:rsidRPr="00A61288">
              <w:rPr>
                <w:sz w:val="22"/>
                <w:lang w:val="es-ES"/>
              </w:rPr>
              <w:t xml:space="preserve"> del RR (revisado por la CMR-19) al examinar las asignaciones presentadas en el marco del § 6.17 del Apéndice</w:t>
            </w:r>
            <w:r w:rsidR="0085397B">
              <w:rPr>
                <w:sz w:val="22"/>
                <w:lang w:val="es-ES"/>
              </w:rPr>
              <w:t> </w:t>
            </w:r>
            <w:r w:rsidRPr="00A61288">
              <w:rPr>
                <w:b/>
                <w:bCs/>
                <w:sz w:val="22"/>
                <w:lang w:val="es-ES"/>
              </w:rPr>
              <w:t>30B</w:t>
            </w:r>
            <w:r w:rsidRPr="00A61288">
              <w:rPr>
                <w:sz w:val="22"/>
                <w:lang w:val="es-ES"/>
              </w:rPr>
              <w:t xml:space="preserve"> del RR después del 22 de noviembre de 2019».</w:t>
            </w:r>
          </w:p>
          <w:p w14:paraId="004EE27B" w14:textId="35DF7010" w:rsidR="00967792" w:rsidRPr="00A61288" w:rsidRDefault="00967792" w:rsidP="00B53355">
            <w:pPr>
              <w:spacing w:before="40" w:after="40"/>
              <w:rPr>
                <w:sz w:val="22"/>
                <w:lang w:val="es-ES"/>
              </w:rPr>
            </w:pPr>
            <w:bookmarkStart w:id="101" w:name="lt_pId332"/>
            <w:r w:rsidRPr="00A61288">
              <w:rPr>
                <w:sz w:val="22"/>
                <w:lang w:val="es-ES"/>
              </w:rPr>
              <w:lastRenderedPageBreak/>
              <w:t>2.5</w:t>
            </w:r>
            <w:r w:rsidRPr="00A61288">
              <w:rPr>
                <w:sz w:val="22"/>
                <w:lang w:val="es-ES"/>
              </w:rPr>
              <w:tab/>
              <w:t xml:space="preserve">El </w:t>
            </w:r>
            <w:r w:rsidRPr="00A61288">
              <w:rPr>
                <w:b/>
                <w:bCs/>
                <w:sz w:val="22"/>
                <w:lang w:val="es-ES"/>
              </w:rPr>
              <w:t>Presidente de la Comisión 5</w:t>
            </w:r>
            <w:r w:rsidRPr="00A61288">
              <w:rPr>
                <w:sz w:val="22"/>
                <w:lang w:val="es-ES"/>
              </w:rPr>
              <w:t xml:space="preserve"> observa que Indonesia, además de la solicitud presentada en relación con la red de satélites PALAPA</w:t>
            </w:r>
            <w:r w:rsidR="0085397B">
              <w:rPr>
                <w:sz w:val="22"/>
                <w:lang w:val="es-ES"/>
              </w:rPr>
              <w:noBreakHyphen/>
            </w:r>
            <w:r w:rsidRPr="00A61288">
              <w:rPr>
                <w:sz w:val="22"/>
                <w:lang w:val="es-ES"/>
              </w:rPr>
              <w:t>C1</w:t>
            </w:r>
            <w:r w:rsidR="0085397B">
              <w:rPr>
                <w:sz w:val="22"/>
                <w:lang w:val="es-ES"/>
              </w:rPr>
              <w:noBreakHyphen/>
            </w:r>
            <w:r w:rsidRPr="00A61288">
              <w:rPr>
                <w:sz w:val="22"/>
                <w:lang w:val="es-ES"/>
              </w:rPr>
              <w:t>B (113° E), ha presentado otras dos solicitudes relativas a las redes de satélites PSN-146E (146° E) y GARUDA-2 (123° E). Desde la última reunión de la Comisión, Australia e Indonesia han llegado a un acuerdo sobre la red de satélites PSN-146E (146° E) y se preparará un texto para su examen en una ulterior Sesión Plenaria. Todavía no se ha logrado llegar a un consenso sobre la red de satélites GARUDA-2 (123° E).</w:t>
            </w:r>
          </w:p>
          <w:p w14:paraId="6D53473F" w14:textId="77777777" w:rsidR="00967792" w:rsidRPr="00A61288" w:rsidRDefault="00967792" w:rsidP="00B53355">
            <w:pPr>
              <w:spacing w:before="40" w:after="40"/>
              <w:rPr>
                <w:sz w:val="22"/>
                <w:lang w:val="es-ES"/>
              </w:rPr>
            </w:pPr>
            <w:r w:rsidRPr="00A61288">
              <w:rPr>
                <w:sz w:val="22"/>
                <w:lang w:val="es-ES"/>
              </w:rPr>
              <w:t>2.6</w:t>
            </w:r>
            <w:r w:rsidRPr="00A61288">
              <w:rPr>
                <w:sz w:val="22"/>
                <w:lang w:val="es-ES"/>
              </w:rPr>
              <w:tab/>
              <w:t xml:space="preserve">El </w:t>
            </w:r>
            <w:r w:rsidRPr="00A61288">
              <w:rPr>
                <w:b/>
                <w:bCs/>
                <w:sz w:val="22"/>
                <w:lang w:val="es-ES"/>
              </w:rPr>
              <w:t>delegado de Indonesia</w:t>
            </w:r>
            <w:r w:rsidRPr="00A61288">
              <w:rPr>
                <w:sz w:val="22"/>
                <w:lang w:val="es-ES"/>
              </w:rPr>
              <w:t xml:space="preserve"> celebra que se haya llegado a una conclusión favorable respecto de la red de satélites PALAPA-C1-B (113° E). Da las gracias a la Administración de Australia y a su operador por su cooperación, que ha permitido llegar a un acuerdo sobre la red de satélites PSN-146E (146° E). Se necesita más tiempo para establecer contacto con las administraciones interesadas y resolver los asuntos de coordinación relacionados con la solicitud de la red de satélites GARUDA-2 (123° E), pero espera informar sobre los progresos logrados en una ulterior Sesión Plenaria.</w:t>
            </w:r>
          </w:p>
          <w:p w14:paraId="2EE12F6E" w14:textId="77777777" w:rsidR="00967792" w:rsidRPr="00A61288" w:rsidRDefault="00967792" w:rsidP="00B53355">
            <w:pPr>
              <w:spacing w:before="40" w:after="40"/>
              <w:rPr>
                <w:sz w:val="22"/>
                <w:lang w:val="es-ES"/>
              </w:rPr>
            </w:pPr>
            <w:r w:rsidRPr="00A61288">
              <w:rPr>
                <w:sz w:val="22"/>
                <w:lang w:val="es-ES"/>
              </w:rPr>
              <w:t>2.7</w:t>
            </w:r>
            <w:r w:rsidRPr="00A61288">
              <w:rPr>
                <w:sz w:val="22"/>
                <w:lang w:val="es-ES"/>
              </w:rPr>
              <w:tab/>
              <w:t xml:space="preserve">La </w:t>
            </w:r>
            <w:r w:rsidRPr="00A61288">
              <w:rPr>
                <w:b/>
                <w:bCs/>
                <w:sz w:val="22"/>
                <w:lang w:val="es-ES"/>
              </w:rPr>
              <w:t>delegada de Australia</w:t>
            </w:r>
            <w:r w:rsidRPr="00A61288">
              <w:rPr>
                <w:sz w:val="22"/>
                <w:lang w:val="es-ES"/>
              </w:rPr>
              <w:t xml:space="preserve"> confirma que las administraciones de Indonesia y Australia han concertado y ratificado un acuerdo. Espera que el texto preparado por ambas administraciones para que conste en las actas se examine en una ulterior Sesión Plenaria.</w:t>
            </w:r>
          </w:p>
          <w:p w14:paraId="0FE55446" w14:textId="77777777" w:rsidR="00967792" w:rsidRPr="00A61288" w:rsidRDefault="00967792" w:rsidP="00B53355">
            <w:pPr>
              <w:spacing w:before="40" w:after="40"/>
              <w:rPr>
                <w:sz w:val="22"/>
                <w:lang w:val="es-ES"/>
              </w:rPr>
            </w:pPr>
            <w:r w:rsidRPr="00A61288">
              <w:rPr>
                <w:sz w:val="22"/>
                <w:lang w:val="es-ES"/>
              </w:rPr>
              <w:t>2.8</w:t>
            </w:r>
            <w:r w:rsidRPr="00A61288">
              <w:rPr>
                <w:sz w:val="22"/>
                <w:lang w:val="es-ES"/>
              </w:rPr>
              <w:tab/>
              <w:t xml:space="preserve">El </w:t>
            </w:r>
            <w:r w:rsidRPr="00A61288">
              <w:rPr>
                <w:b/>
                <w:bCs/>
                <w:sz w:val="22"/>
                <w:lang w:val="es-ES"/>
              </w:rPr>
              <w:t>delegado de la República Islámica del Irán</w:t>
            </w:r>
            <w:r w:rsidRPr="00A61288">
              <w:rPr>
                <w:sz w:val="22"/>
                <w:lang w:val="es-ES"/>
              </w:rPr>
              <w:t xml:space="preserve"> recuerda que su delegación ha solicitado que se dé a la delegación de Indonesia la oportunidad de terminar la coordinación y agradece a la Administración de Australia y a su operador sus esfuerzos para encontrar una solución. Espera que se conceda a Indonesia tiempo adicional para finalizar la labor de coordinación pendiente.</w:t>
            </w:r>
          </w:p>
          <w:p w14:paraId="6BDEB594" w14:textId="77777777" w:rsidR="00967792" w:rsidRPr="00A61288" w:rsidRDefault="00967792" w:rsidP="00B53355">
            <w:pPr>
              <w:spacing w:before="40" w:after="40"/>
              <w:rPr>
                <w:sz w:val="22"/>
                <w:lang w:val="es-ES"/>
              </w:rPr>
            </w:pPr>
            <w:bookmarkStart w:id="102" w:name="lt_pId345"/>
            <w:bookmarkEnd w:id="101"/>
            <w:r w:rsidRPr="00A61288">
              <w:rPr>
                <w:sz w:val="22"/>
                <w:lang w:val="es-ES"/>
              </w:rPr>
              <w:t>2.9</w:t>
            </w:r>
            <w:r w:rsidRPr="00A61288">
              <w:rPr>
                <w:sz w:val="22"/>
                <w:lang w:val="es-ES"/>
              </w:rPr>
              <w:tab/>
              <w:t xml:space="preserve">El </w:t>
            </w:r>
            <w:r w:rsidRPr="00A61288">
              <w:rPr>
                <w:b/>
                <w:bCs/>
                <w:sz w:val="22"/>
                <w:lang w:val="es-ES"/>
              </w:rPr>
              <w:t>delegado de los Emiratos Árabes Unidos</w:t>
            </w:r>
            <w:r w:rsidRPr="00A61288">
              <w:rPr>
                <w:sz w:val="22"/>
                <w:lang w:val="es-ES"/>
              </w:rPr>
              <w:t xml:space="preserve"> declara que su administración está colaborando con la Administración de Indonesia para terminar la coordinación con respecto a la red GARUDA-2 (123° E) e informará a la Plenaria sobre los progresos logrados.</w:t>
            </w:r>
          </w:p>
          <w:p w14:paraId="59E8D8CA" w14:textId="77777777" w:rsidR="00967792" w:rsidRPr="00A61288" w:rsidRDefault="00967792" w:rsidP="00B53355">
            <w:pPr>
              <w:spacing w:before="40" w:after="40"/>
              <w:rPr>
                <w:sz w:val="22"/>
                <w:lang w:val="es-ES"/>
              </w:rPr>
            </w:pPr>
            <w:r w:rsidRPr="00A61288">
              <w:rPr>
                <w:sz w:val="22"/>
                <w:lang w:val="es-ES"/>
              </w:rPr>
              <w:t>2.10</w:t>
            </w:r>
            <w:r w:rsidRPr="00A61288">
              <w:rPr>
                <w:sz w:val="22"/>
                <w:lang w:val="es-ES"/>
              </w:rPr>
              <w:tab/>
              <w:t xml:space="preserve">El </w:t>
            </w:r>
            <w:r w:rsidRPr="00A61288">
              <w:rPr>
                <w:b/>
                <w:bCs/>
                <w:sz w:val="22"/>
                <w:lang w:val="es-ES"/>
              </w:rPr>
              <w:t>delegado de Luxemburgo</w:t>
            </w:r>
            <w:r w:rsidRPr="00A61288">
              <w:rPr>
                <w:sz w:val="22"/>
                <w:lang w:val="es-ES"/>
              </w:rPr>
              <w:t xml:space="preserve"> observa que se ha alcanzado un acuerdo para aplicar los criterios del § 2.1 del Anexo 4 al Apéndice </w:t>
            </w:r>
            <w:r w:rsidRPr="00A61288">
              <w:rPr>
                <w:b/>
                <w:bCs/>
                <w:sz w:val="22"/>
                <w:lang w:val="es-ES"/>
              </w:rPr>
              <w:lastRenderedPageBreak/>
              <w:t>30B</w:t>
            </w:r>
            <w:r w:rsidRPr="00A61288">
              <w:rPr>
                <w:sz w:val="22"/>
                <w:lang w:val="es-ES"/>
              </w:rPr>
              <w:t xml:space="preserve"> del Reglamento de Radiocomunicaciones, revisado por la CMR-19, a la petición de las redes de satélite MNG00000 y SANSAR-1 (113,6° E) presentadas por Mongolia. Se pregunta si se aplicarán esos mismos criterios a las asignaciones presentadas con arreglo al § 6.1 antes del 23 de noviembre de 2019.</w:t>
            </w:r>
          </w:p>
          <w:p w14:paraId="54D1981F" w14:textId="77777777" w:rsidR="00967792" w:rsidRPr="00A61288" w:rsidRDefault="00967792" w:rsidP="00B53355">
            <w:pPr>
              <w:spacing w:before="40" w:after="40"/>
              <w:rPr>
                <w:sz w:val="22"/>
                <w:lang w:val="es-ES"/>
              </w:rPr>
            </w:pPr>
            <w:r w:rsidRPr="00A61288">
              <w:rPr>
                <w:sz w:val="22"/>
                <w:lang w:val="es-ES"/>
              </w:rPr>
              <w:t>2.11</w:t>
            </w:r>
            <w:r w:rsidRPr="00A61288">
              <w:rPr>
                <w:sz w:val="22"/>
                <w:lang w:val="es-ES"/>
              </w:rPr>
              <w:tab/>
              <w:t xml:space="preserve">El </w:t>
            </w:r>
            <w:r w:rsidRPr="00A61288">
              <w:rPr>
                <w:b/>
                <w:bCs/>
                <w:sz w:val="22"/>
                <w:lang w:val="es-ES"/>
              </w:rPr>
              <w:t>delegado de la República Islámica del Irán</w:t>
            </w:r>
            <w:r w:rsidRPr="00A61288">
              <w:rPr>
                <w:sz w:val="22"/>
                <w:lang w:val="es-ES"/>
              </w:rPr>
              <w:t xml:space="preserve"> aduce que podría alcanzarse un mejor acuerdo y pide a la BR orientación al respecto.</w:t>
            </w:r>
          </w:p>
          <w:p w14:paraId="07C5B5D5" w14:textId="77777777" w:rsidR="00967792" w:rsidRPr="00A61288" w:rsidRDefault="00967792" w:rsidP="00B53355">
            <w:pPr>
              <w:spacing w:before="40" w:after="40"/>
              <w:rPr>
                <w:sz w:val="22"/>
                <w:lang w:val="es-ES"/>
              </w:rPr>
            </w:pPr>
            <w:r w:rsidRPr="00A61288">
              <w:rPr>
                <w:sz w:val="22"/>
                <w:lang w:val="es-ES"/>
              </w:rPr>
              <w:t>2.12</w:t>
            </w:r>
            <w:r w:rsidRPr="00A61288">
              <w:rPr>
                <w:sz w:val="22"/>
                <w:lang w:val="es-ES"/>
              </w:rPr>
              <w:tab/>
              <w:t xml:space="preserve">El </w:t>
            </w:r>
            <w:r w:rsidRPr="00A61288">
              <w:rPr>
                <w:b/>
                <w:bCs/>
                <w:sz w:val="22"/>
                <w:lang w:val="es-ES"/>
              </w:rPr>
              <w:t>representante de la BR</w:t>
            </w:r>
            <w:r w:rsidRPr="00A61288">
              <w:rPr>
                <w:sz w:val="22"/>
                <w:lang w:val="es-ES"/>
              </w:rPr>
              <w:t xml:space="preserve"> aduce que la Oficina sigue manteniendo consultas con las administraciones de Mongolia y de la Federación de Rusia a fin de aclarar un aspecto práctico relativo a la implementación. Una vez concluidas esas consultas, se presentará un texto definitivo a la Plenaria. Podría ser necesaria una aclaración adicional para garantizar que toda decisión que se adopte resulte aceptable para todas las administraciones.</w:t>
            </w:r>
          </w:p>
          <w:p w14:paraId="46DD5451" w14:textId="77777777" w:rsidR="00967792" w:rsidRPr="00A61288" w:rsidRDefault="00967792" w:rsidP="00B53355">
            <w:pPr>
              <w:spacing w:before="40" w:after="40"/>
              <w:rPr>
                <w:sz w:val="22"/>
                <w:lang w:val="es-ES"/>
              </w:rPr>
            </w:pPr>
            <w:r w:rsidRPr="00A61288">
              <w:rPr>
                <w:sz w:val="22"/>
                <w:lang w:val="es-ES"/>
              </w:rPr>
              <w:t>2.13</w:t>
            </w:r>
            <w:r w:rsidRPr="00A61288">
              <w:rPr>
                <w:sz w:val="22"/>
                <w:lang w:val="es-ES"/>
              </w:rPr>
              <w:tab/>
              <w:t xml:space="preserve">El </w:t>
            </w:r>
            <w:r w:rsidRPr="00A61288">
              <w:rPr>
                <w:b/>
                <w:bCs/>
                <w:sz w:val="22"/>
                <w:lang w:val="es-ES"/>
              </w:rPr>
              <w:t>Presidente</w:t>
            </w:r>
            <w:r w:rsidRPr="00A61288">
              <w:rPr>
                <w:sz w:val="22"/>
                <w:lang w:val="es-ES"/>
              </w:rPr>
              <w:t xml:space="preserve"> propone que, habida cuenta de los comentarios precedentes, se apruebe el texto presentado en el Documento 518, salvo el último párrafo, para que conste en las actas de la Sesión Plenaria a modo de decisión de la Conferencia, y que se dé más tiempo a Indonesia para terminar las consultas con las demás partes. </w:t>
            </w:r>
          </w:p>
          <w:bookmarkEnd w:id="102"/>
          <w:p w14:paraId="33F87A26" w14:textId="77777777" w:rsidR="00967792" w:rsidRPr="00A61288" w:rsidRDefault="00967792" w:rsidP="00B53355">
            <w:pPr>
              <w:spacing w:before="40" w:after="40"/>
              <w:rPr>
                <w:b/>
                <w:bCs/>
                <w:sz w:val="22"/>
                <w:lang w:val="es-ES"/>
              </w:rPr>
            </w:pPr>
            <w:r w:rsidRPr="00A61288">
              <w:rPr>
                <w:sz w:val="22"/>
                <w:lang w:val="es-ES"/>
              </w:rPr>
              <w:t>2.14</w:t>
            </w:r>
            <w:r w:rsidRPr="00A61288">
              <w:rPr>
                <w:sz w:val="22"/>
                <w:lang w:val="es-ES"/>
              </w:rPr>
              <w:tab/>
            </w:r>
            <w:bookmarkStart w:id="103" w:name="lt_pId347"/>
            <w:r w:rsidRPr="00A61288">
              <w:rPr>
                <w:sz w:val="22"/>
                <w:lang w:val="es-ES"/>
              </w:rPr>
              <w:t xml:space="preserve">Así se </w:t>
            </w:r>
            <w:r w:rsidRPr="00A61288">
              <w:rPr>
                <w:b/>
                <w:bCs/>
                <w:sz w:val="22"/>
                <w:lang w:val="es-ES"/>
              </w:rPr>
              <w:t>acuerda</w:t>
            </w:r>
            <w:r w:rsidRPr="00A61288">
              <w:rPr>
                <w:sz w:val="22"/>
                <w:lang w:val="es-ES"/>
              </w:rPr>
              <w:t>.</w:t>
            </w:r>
            <w:bookmarkEnd w:id="103"/>
          </w:p>
          <w:p w14:paraId="3A7C0FC2" w14:textId="08492AE8" w:rsidR="00967792" w:rsidRPr="00A61288" w:rsidRDefault="00967792" w:rsidP="00B53355">
            <w:pPr>
              <w:spacing w:before="40" w:after="40"/>
              <w:rPr>
                <w:sz w:val="22"/>
                <w:lang w:val="es-ES"/>
              </w:rPr>
            </w:pPr>
            <w:r w:rsidRPr="00A61288">
              <w:rPr>
                <w:sz w:val="22"/>
                <w:lang w:val="es-ES"/>
              </w:rPr>
              <w:t>2.15</w:t>
            </w:r>
            <w:r w:rsidRPr="00A61288">
              <w:rPr>
                <w:sz w:val="22"/>
                <w:lang w:val="es-ES"/>
              </w:rPr>
              <w:tab/>
            </w:r>
            <w:bookmarkStart w:id="104" w:name="lt_pId349"/>
            <w:r w:rsidRPr="00A61288">
              <w:rPr>
                <w:sz w:val="22"/>
                <w:lang w:val="es-ES"/>
              </w:rPr>
              <w:t xml:space="preserve">En la inteligencia de lo anterior, se </w:t>
            </w:r>
            <w:r w:rsidRPr="00A61288">
              <w:rPr>
                <w:b/>
                <w:bCs/>
                <w:sz w:val="22"/>
                <w:lang w:val="es-ES"/>
              </w:rPr>
              <w:t>aprueba</w:t>
            </w:r>
            <w:r w:rsidRPr="00A61288">
              <w:rPr>
                <w:sz w:val="22"/>
                <w:lang w:val="es-ES"/>
              </w:rPr>
              <w:t xml:space="preserve"> el Documento</w:t>
            </w:r>
            <w:r w:rsidR="0025704A">
              <w:rPr>
                <w:sz w:val="22"/>
                <w:lang w:val="es-ES"/>
              </w:rPr>
              <w:t> </w:t>
            </w:r>
            <w:r w:rsidRPr="00A61288">
              <w:rPr>
                <w:sz w:val="22"/>
                <w:lang w:val="es-ES"/>
              </w:rPr>
              <w:t>518.</w:t>
            </w:r>
            <w:bookmarkEnd w:id="104"/>
          </w:p>
        </w:tc>
        <w:tc>
          <w:tcPr>
            <w:tcW w:w="1548" w:type="pct"/>
          </w:tcPr>
          <w:p w14:paraId="7987BCF8" w14:textId="591878A8" w:rsidR="00967792" w:rsidRPr="00266695" w:rsidRDefault="00967792" w:rsidP="00B53355">
            <w:pPr>
              <w:pStyle w:val="Tabletext"/>
              <w:rPr>
                <w:lang w:val="es-ES"/>
              </w:rPr>
            </w:pPr>
            <w:r w:rsidRPr="00266695">
              <w:rPr>
                <w:lang w:val="es-ES"/>
              </w:rPr>
              <w:lastRenderedPageBreak/>
              <w:t xml:space="preserve">En su 84ª reunión recibe una petición de la Administración de Indonesia en la que se solicita una prórroga del plazo reglamentario para la puesta en servicio de las </w:t>
            </w:r>
            <w:r w:rsidRPr="00A616CA">
              <w:rPr>
                <w:lang w:val="es-ES"/>
              </w:rPr>
              <w:t>asignaciones</w:t>
            </w:r>
            <w:r w:rsidRPr="00266695">
              <w:rPr>
                <w:lang w:val="es-ES"/>
              </w:rPr>
              <w:t xml:space="preserve"> de frecuencia</w:t>
            </w:r>
            <w:r w:rsidR="003766E4">
              <w:rPr>
                <w:lang w:val="es-ES"/>
              </w:rPr>
              <w:t>s</w:t>
            </w:r>
            <w:r w:rsidRPr="00266695">
              <w:rPr>
                <w:lang w:val="es-ES"/>
              </w:rPr>
              <w:t xml:space="preserve"> a la red de satélites PALAPA-C1-B en las bandas de frecuencias 11</w:t>
            </w:r>
            <w:r w:rsidR="003766E4">
              <w:rPr>
                <w:lang w:val="es-ES"/>
              </w:rPr>
              <w:t> </w:t>
            </w:r>
            <w:r w:rsidRPr="00266695">
              <w:rPr>
                <w:lang w:val="es-ES"/>
              </w:rPr>
              <w:t>452</w:t>
            </w:r>
            <w:r w:rsidR="003766E4">
              <w:rPr>
                <w:lang w:val="es-ES"/>
              </w:rPr>
              <w:noBreakHyphen/>
            </w:r>
            <w:r w:rsidRPr="00266695">
              <w:rPr>
                <w:lang w:val="es-ES"/>
              </w:rPr>
              <w:t>11</w:t>
            </w:r>
            <w:r w:rsidR="003766E4">
              <w:rPr>
                <w:lang w:val="es-ES"/>
              </w:rPr>
              <w:t> </w:t>
            </w:r>
            <w:r w:rsidRPr="00266695">
              <w:rPr>
                <w:lang w:val="es-ES"/>
              </w:rPr>
              <w:t>678</w:t>
            </w:r>
            <w:r w:rsidR="003766E4">
              <w:rPr>
                <w:lang w:val="es-ES"/>
              </w:rPr>
              <w:t> </w:t>
            </w:r>
            <w:r w:rsidRPr="00266695">
              <w:rPr>
                <w:lang w:val="es-ES"/>
              </w:rPr>
              <w:t>MHz, 12 252</w:t>
            </w:r>
            <w:r w:rsidRPr="00266695">
              <w:rPr>
                <w:lang w:val="es-ES"/>
              </w:rPr>
              <w:noBreakHyphen/>
              <w:t>12 532 MHz, 13</w:t>
            </w:r>
            <w:r w:rsidR="003766E4">
              <w:rPr>
                <w:lang w:val="es-ES"/>
              </w:rPr>
              <w:t> </w:t>
            </w:r>
            <w:r w:rsidRPr="00266695">
              <w:rPr>
                <w:lang w:val="es-ES"/>
              </w:rPr>
              <w:t>758-13</w:t>
            </w:r>
            <w:r w:rsidR="003766E4">
              <w:rPr>
                <w:lang w:val="es-ES"/>
              </w:rPr>
              <w:t> </w:t>
            </w:r>
            <w:r w:rsidRPr="00266695">
              <w:rPr>
                <w:lang w:val="es-ES"/>
              </w:rPr>
              <w:t>984 MHz y 14 000-14 280 MHz y la ampliación del periodo de suspensión de esas asignaciones de frecuencias a las redes de satélites PALAPA-B2, PALAPA-C1, PALAPA-C1-K y PALAPA-C1-B que ya se han puesto en servicio.</w:t>
            </w:r>
          </w:p>
          <w:p w14:paraId="67697698" w14:textId="2A06DECE" w:rsidR="00967792" w:rsidRPr="00D2027A" w:rsidRDefault="00967792" w:rsidP="00B53355">
            <w:pPr>
              <w:pStyle w:val="Tabletext"/>
              <w:rPr>
                <w:rFonts w:asciiTheme="majorBidi" w:hAnsiTheme="majorBidi" w:cstheme="majorBidi"/>
                <w:bCs/>
                <w:lang w:val="es-ES"/>
              </w:rPr>
            </w:pPr>
            <w:r w:rsidRPr="00D2027A">
              <w:rPr>
                <w:rFonts w:asciiTheme="majorBidi" w:hAnsiTheme="majorBidi" w:cstheme="majorBidi"/>
                <w:bCs/>
                <w:lang w:val="es-ES"/>
              </w:rPr>
              <w:t>De acuerdo con la información proporcionada, la Junta lleg</w:t>
            </w:r>
            <w:r>
              <w:rPr>
                <w:rFonts w:asciiTheme="majorBidi" w:hAnsiTheme="majorBidi" w:cstheme="majorBidi"/>
                <w:bCs/>
                <w:lang w:val="es-ES"/>
              </w:rPr>
              <w:t>a</w:t>
            </w:r>
            <w:r w:rsidRPr="00D2027A">
              <w:rPr>
                <w:rFonts w:asciiTheme="majorBidi" w:hAnsiTheme="majorBidi" w:cstheme="majorBidi"/>
                <w:bCs/>
                <w:lang w:val="es-ES"/>
              </w:rPr>
              <w:t xml:space="preserve"> a la conclusión de que el caso podía considerarse de fuerza mayor, debido al </w:t>
            </w:r>
            <w:r w:rsidRPr="00D2027A">
              <w:rPr>
                <w:rFonts w:asciiTheme="majorBidi" w:hAnsiTheme="majorBidi" w:cstheme="majorBidi"/>
                <w:bCs/>
                <w:lang w:val="es-ES"/>
              </w:rPr>
              <w:lastRenderedPageBreak/>
              <w:t>fallo de lanzamiento del satélite Palapa N1</w:t>
            </w:r>
            <w:r>
              <w:rPr>
                <w:rFonts w:asciiTheme="majorBidi" w:hAnsiTheme="majorBidi" w:cstheme="majorBidi"/>
                <w:bCs/>
                <w:lang w:val="es-ES"/>
              </w:rPr>
              <w:t xml:space="preserve"> y</w:t>
            </w:r>
            <w:r w:rsidRPr="00D2027A">
              <w:rPr>
                <w:rFonts w:asciiTheme="majorBidi" w:hAnsiTheme="majorBidi" w:cstheme="majorBidi"/>
                <w:bCs/>
                <w:lang w:val="es-ES"/>
              </w:rPr>
              <w:t xml:space="preserve"> </w:t>
            </w:r>
            <w:r>
              <w:rPr>
                <w:rFonts w:asciiTheme="majorBidi" w:hAnsiTheme="majorBidi" w:cstheme="majorBidi"/>
                <w:bCs/>
                <w:lang w:val="es-ES"/>
              </w:rPr>
              <w:t>decide</w:t>
            </w:r>
            <w:r w:rsidRPr="00D2027A">
              <w:rPr>
                <w:rFonts w:asciiTheme="majorBidi" w:hAnsiTheme="majorBidi" w:cstheme="majorBidi"/>
                <w:bCs/>
                <w:lang w:val="es-ES"/>
              </w:rPr>
              <w:t xml:space="preserve"> acceder a la solicitud de la Administración de Indonesia (</w:t>
            </w:r>
            <w:r>
              <w:rPr>
                <w:rFonts w:asciiTheme="majorBidi" w:hAnsiTheme="majorBidi" w:cstheme="majorBidi"/>
                <w:bCs/>
                <w:lang w:val="es-ES"/>
              </w:rPr>
              <w:t>véase el</w:t>
            </w:r>
            <w:r w:rsidRPr="00D2027A">
              <w:rPr>
                <w:rFonts w:asciiTheme="majorBidi" w:hAnsiTheme="majorBidi" w:cstheme="majorBidi"/>
                <w:bCs/>
                <w:lang w:val="es-ES"/>
              </w:rPr>
              <w:t xml:space="preserve"> Doc.</w:t>
            </w:r>
            <w:r w:rsidR="003766E4">
              <w:rPr>
                <w:rFonts w:asciiTheme="majorBidi" w:hAnsiTheme="majorBidi" w:cstheme="majorBidi"/>
                <w:bCs/>
                <w:lang w:val="es-ES"/>
              </w:rPr>
              <w:t> </w:t>
            </w:r>
            <w:hyperlink r:id="rId254" w:history="1">
              <w:r w:rsidRPr="00D2027A">
                <w:rPr>
                  <w:rStyle w:val="Hyperlink"/>
                  <w:rFonts w:asciiTheme="majorBidi" w:hAnsiTheme="majorBidi" w:cstheme="majorBidi"/>
                  <w:bCs/>
                  <w:lang w:val="es-ES"/>
                </w:rPr>
                <w:t>RRB20-2/29</w:t>
              </w:r>
            </w:hyperlink>
            <w:r w:rsidRPr="00D2027A">
              <w:rPr>
                <w:rFonts w:asciiTheme="majorBidi" w:hAnsiTheme="majorBidi" w:cstheme="majorBidi"/>
                <w:bCs/>
                <w:lang w:val="es-ES"/>
              </w:rPr>
              <w:t>).</w:t>
            </w:r>
          </w:p>
          <w:p w14:paraId="67044A84" w14:textId="2949F40A" w:rsidR="00967792" w:rsidRPr="00D2027A" w:rsidDel="009440F5" w:rsidRDefault="00967792" w:rsidP="00B53355">
            <w:pPr>
              <w:pStyle w:val="Tabletext"/>
              <w:rPr>
                <w:rFonts w:asciiTheme="majorBidi" w:hAnsiTheme="majorBidi" w:cstheme="majorBidi"/>
                <w:szCs w:val="24"/>
                <w:lang w:val="es-ES"/>
              </w:rPr>
            </w:pPr>
            <w:r w:rsidRPr="00FF3F59">
              <w:rPr>
                <w:rFonts w:asciiTheme="majorBidi" w:hAnsiTheme="majorBidi" w:cstheme="majorBidi"/>
                <w:bCs/>
                <w:lang w:val="es-ES"/>
              </w:rPr>
              <w:t>En su 8</w:t>
            </w:r>
            <w:r>
              <w:rPr>
                <w:rFonts w:asciiTheme="majorBidi" w:hAnsiTheme="majorBidi" w:cstheme="majorBidi"/>
                <w:bCs/>
                <w:lang w:val="es-ES"/>
              </w:rPr>
              <w:t>5</w:t>
            </w:r>
            <w:r w:rsidRPr="00FF3F59">
              <w:rPr>
                <w:rFonts w:asciiTheme="majorBidi" w:hAnsiTheme="majorBidi" w:cstheme="majorBidi"/>
                <w:bCs/>
                <w:lang w:val="es-ES"/>
              </w:rPr>
              <w:t>ª reunión</w:t>
            </w:r>
            <w:r>
              <w:rPr>
                <w:rFonts w:asciiTheme="majorBidi" w:hAnsiTheme="majorBidi" w:cstheme="majorBidi"/>
                <w:bCs/>
                <w:lang w:val="es-ES"/>
              </w:rPr>
              <w:t>, la Junta</w:t>
            </w:r>
            <w:r w:rsidRPr="00FF3F59">
              <w:rPr>
                <w:rFonts w:asciiTheme="majorBidi" w:hAnsiTheme="majorBidi" w:cstheme="majorBidi"/>
                <w:bCs/>
                <w:lang w:val="es-ES"/>
              </w:rPr>
              <w:t xml:space="preserve"> recibe una petición de la Administración de </w:t>
            </w:r>
            <w:r>
              <w:rPr>
                <w:rFonts w:asciiTheme="majorBidi" w:hAnsiTheme="majorBidi" w:cstheme="majorBidi"/>
                <w:bCs/>
                <w:lang w:val="es-ES"/>
              </w:rPr>
              <w:t>l</w:t>
            </w:r>
            <w:r w:rsidR="00A864C4">
              <w:rPr>
                <w:rFonts w:asciiTheme="majorBidi" w:hAnsiTheme="majorBidi" w:cstheme="majorBidi"/>
                <w:bCs/>
                <w:lang w:val="es-ES"/>
              </w:rPr>
              <w:t>a</w:t>
            </w:r>
            <w:r>
              <w:rPr>
                <w:rFonts w:asciiTheme="majorBidi" w:hAnsiTheme="majorBidi" w:cstheme="majorBidi"/>
                <w:bCs/>
                <w:lang w:val="es-ES"/>
              </w:rPr>
              <w:t xml:space="preserve"> India</w:t>
            </w:r>
            <w:r w:rsidRPr="00FF3F59">
              <w:rPr>
                <w:rFonts w:asciiTheme="majorBidi" w:hAnsiTheme="majorBidi" w:cstheme="majorBidi"/>
                <w:bCs/>
                <w:lang w:val="es-ES"/>
              </w:rPr>
              <w:t xml:space="preserve"> en la que se solicita una prórroga del plazo reglamentario para la puesta en servicio de las asignaciones de frecuencia</w:t>
            </w:r>
            <w:r>
              <w:rPr>
                <w:rFonts w:asciiTheme="majorBidi" w:hAnsiTheme="majorBidi" w:cstheme="majorBidi"/>
                <w:bCs/>
                <w:lang w:val="es-ES"/>
              </w:rPr>
              <w:t>s</w:t>
            </w:r>
            <w:r w:rsidRPr="00FF3F59">
              <w:rPr>
                <w:rFonts w:asciiTheme="majorBidi" w:hAnsiTheme="majorBidi" w:cstheme="majorBidi"/>
                <w:bCs/>
                <w:lang w:val="es-ES"/>
              </w:rPr>
              <w:t xml:space="preserve"> a la</w:t>
            </w:r>
            <w:r>
              <w:rPr>
                <w:rFonts w:asciiTheme="majorBidi" w:hAnsiTheme="majorBidi" w:cstheme="majorBidi"/>
                <w:bCs/>
                <w:lang w:val="es-ES"/>
              </w:rPr>
              <w:t>s</w:t>
            </w:r>
            <w:r w:rsidRPr="00FF3F59">
              <w:rPr>
                <w:rFonts w:asciiTheme="majorBidi" w:hAnsiTheme="majorBidi" w:cstheme="majorBidi"/>
                <w:bCs/>
                <w:lang w:val="es-ES"/>
              </w:rPr>
              <w:t xml:space="preserve"> red</w:t>
            </w:r>
            <w:r>
              <w:rPr>
                <w:rFonts w:asciiTheme="majorBidi" w:hAnsiTheme="majorBidi" w:cstheme="majorBidi"/>
                <w:bCs/>
                <w:lang w:val="es-ES"/>
              </w:rPr>
              <w:t>es</w:t>
            </w:r>
            <w:r w:rsidRPr="00FF3F59">
              <w:rPr>
                <w:rFonts w:asciiTheme="majorBidi" w:hAnsiTheme="majorBidi" w:cstheme="majorBidi"/>
                <w:bCs/>
                <w:lang w:val="es-ES"/>
              </w:rPr>
              <w:t xml:space="preserve"> de satélites INSAT</w:t>
            </w:r>
            <w:r w:rsidR="003766E4">
              <w:rPr>
                <w:rFonts w:asciiTheme="majorBidi" w:hAnsiTheme="majorBidi" w:cstheme="majorBidi"/>
                <w:bCs/>
                <w:lang w:val="es-ES"/>
              </w:rPr>
              <w:noBreakHyphen/>
            </w:r>
            <w:r w:rsidRPr="00FF3F59">
              <w:rPr>
                <w:rFonts w:asciiTheme="majorBidi" w:hAnsiTheme="majorBidi" w:cstheme="majorBidi"/>
                <w:bCs/>
                <w:lang w:val="es-ES"/>
              </w:rPr>
              <w:t xml:space="preserve">EXK82.5E </w:t>
            </w:r>
            <w:r>
              <w:rPr>
                <w:rFonts w:asciiTheme="majorBidi" w:hAnsiTheme="majorBidi" w:cstheme="majorBidi"/>
                <w:bCs/>
                <w:lang w:val="es-ES"/>
              </w:rPr>
              <w:t>e</w:t>
            </w:r>
            <w:r w:rsidRPr="00FF3F59">
              <w:rPr>
                <w:rFonts w:asciiTheme="majorBidi" w:hAnsiTheme="majorBidi" w:cstheme="majorBidi"/>
                <w:bCs/>
                <w:lang w:val="es-ES"/>
              </w:rPr>
              <w:t xml:space="preserve"> INSAT-KUP-BSS(83E) </w:t>
            </w:r>
            <w:r>
              <w:rPr>
                <w:rFonts w:asciiTheme="majorBidi" w:hAnsiTheme="majorBidi" w:cstheme="majorBidi"/>
                <w:bCs/>
                <w:lang w:val="es-ES"/>
              </w:rPr>
              <w:t xml:space="preserve">debido a un caso de fuerza mayor a raíz de la pandemia de </w:t>
            </w:r>
            <w:r w:rsidRPr="00FF3F59">
              <w:rPr>
                <w:rFonts w:asciiTheme="majorBidi" w:hAnsiTheme="majorBidi" w:cstheme="majorBidi"/>
                <w:bCs/>
                <w:lang w:val="es-ES"/>
              </w:rPr>
              <w:t xml:space="preserve">COVID-19. </w:t>
            </w:r>
            <w:r w:rsidRPr="00D2027A">
              <w:rPr>
                <w:rFonts w:asciiTheme="majorBidi" w:hAnsiTheme="majorBidi" w:cstheme="majorBidi"/>
                <w:bCs/>
                <w:lang w:val="es-ES"/>
              </w:rPr>
              <w:t xml:space="preserve">Sin embargo, la Junta necesita información </w:t>
            </w:r>
            <w:r>
              <w:rPr>
                <w:rFonts w:asciiTheme="majorBidi" w:hAnsiTheme="majorBidi" w:cstheme="majorBidi"/>
                <w:bCs/>
                <w:lang w:val="es-ES"/>
              </w:rPr>
              <w:t>suplementaria</w:t>
            </w:r>
            <w:r w:rsidRPr="00D2027A">
              <w:rPr>
                <w:rFonts w:asciiTheme="majorBidi" w:hAnsiTheme="majorBidi" w:cstheme="majorBidi"/>
                <w:bCs/>
                <w:lang w:val="es-ES"/>
              </w:rPr>
              <w:t xml:space="preserve"> para determinar si el caso </w:t>
            </w:r>
            <w:r>
              <w:rPr>
                <w:rFonts w:asciiTheme="majorBidi" w:hAnsiTheme="majorBidi" w:cstheme="majorBidi"/>
                <w:bCs/>
                <w:lang w:val="es-ES"/>
              </w:rPr>
              <w:t>reúne todos los requisitos</w:t>
            </w:r>
            <w:r w:rsidRPr="00D2027A">
              <w:rPr>
                <w:rFonts w:asciiTheme="majorBidi" w:hAnsiTheme="majorBidi" w:cstheme="majorBidi"/>
                <w:bCs/>
                <w:lang w:val="es-ES"/>
              </w:rPr>
              <w:t xml:space="preserve"> para </w:t>
            </w:r>
            <w:r>
              <w:rPr>
                <w:rFonts w:asciiTheme="majorBidi" w:hAnsiTheme="majorBidi" w:cstheme="majorBidi"/>
                <w:bCs/>
                <w:lang w:val="es-ES"/>
              </w:rPr>
              <w:t>considerarse</w:t>
            </w:r>
            <w:r w:rsidRPr="00D2027A">
              <w:rPr>
                <w:rFonts w:asciiTheme="majorBidi" w:hAnsiTheme="majorBidi" w:cstheme="majorBidi"/>
                <w:bCs/>
                <w:lang w:val="es-ES"/>
              </w:rPr>
              <w:t xml:space="preserve"> </w:t>
            </w:r>
            <w:r>
              <w:rPr>
                <w:rFonts w:asciiTheme="majorBidi" w:hAnsiTheme="majorBidi" w:cstheme="majorBidi"/>
                <w:bCs/>
                <w:lang w:val="es-ES"/>
              </w:rPr>
              <w:t xml:space="preserve">de </w:t>
            </w:r>
            <w:r w:rsidRPr="00D2027A">
              <w:rPr>
                <w:rFonts w:asciiTheme="majorBidi" w:hAnsiTheme="majorBidi" w:cstheme="majorBidi"/>
                <w:bCs/>
                <w:lang w:val="es-ES"/>
              </w:rPr>
              <w:t xml:space="preserve">fuerza mayor. </w:t>
            </w:r>
            <w:r w:rsidRPr="00FF3F59">
              <w:rPr>
                <w:rFonts w:asciiTheme="majorBidi" w:hAnsiTheme="majorBidi" w:cstheme="majorBidi"/>
                <w:bCs/>
                <w:lang w:val="es-ES"/>
              </w:rPr>
              <w:t xml:space="preserve">La Junta encarga a la </w:t>
            </w:r>
            <w:r w:rsidRPr="00A616CA">
              <w:rPr>
                <w:lang w:val="es-ES"/>
              </w:rPr>
              <w:t>Oficina</w:t>
            </w:r>
            <w:r w:rsidRPr="00FF3F59">
              <w:rPr>
                <w:rFonts w:asciiTheme="majorBidi" w:hAnsiTheme="majorBidi" w:cstheme="majorBidi"/>
                <w:bCs/>
                <w:lang w:val="es-ES"/>
              </w:rPr>
              <w:t xml:space="preserve"> que invite a la Administración de la India a proporcionar la información necesaria a su 86</w:t>
            </w:r>
            <w:r>
              <w:rPr>
                <w:rFonts w:asciiTheme="majorBidi" w:hAnsiTheme="majorBidi" w:cstheme="majorBidi"/>
                <w:bCs/>
                <w:lang w:val="es-ES"/>
              </w:rPr>
              <w:t xml:space="preserve">ª </w:t>
            </w:r>
            <w:r w:rsidRPr="00FF3F59">
              <w:rPr>
                <w:rFonts w:asciiTheme="majorBidi" w:hAnsiTheme="majorBidi" w:cstheme="majorBidi"/>
                <w:bCs/>
                <w:lang w:val="es-ES"/>
              </w:rPr>
              <w:t>reunión</w:t>
            </w:r>
            <w:r>
              <w:rPr>
                <w:rFonts w:asciiTheme="majorBidi" w:hAnsiTheme="majorBidi" w:cstheme="majorBidi"/>
                <w:bCs/>
                <w:lang w:val="es-ES"/>
              </w:rPr>
              <w:t xml:space="preserve"> a fin de respaldar la</w:t>
            </w:r>
            <w:r w:rsidRPr="00FF3F59">
              <w:rPr>
                <w:rFonts w:asciiTheme="majorBidi" w:hAnsiTheme="majorBidi" w:cstheme="majorBidi"/>
                <w:bCs/>
                <w:lang w:val="es-ES"/>
              </w:rPr>
              <w:t xml:space="preserve"> petición y </w:t>
            </w:r>
            <w:r>
              <w:rPr>
                <w:rFonts w:asciiTheme="majorBidi" w:hAnsiTheme="majorBidi" w:cstheme="majorBidi"/>
                <w:bCs/>
                <w:lang w:val="es-ES"/>
              </w:rPr>
              <w:t>pide asimismo</w:t>
            </w:r>
            <w:r w:rsidRPr="00FF3F59">
              <w:rPr>
                <w:rFonts w:asciiTheme="majorBidi" w:hAnsiTheme="majorBidi" w:cstheme="majorBidi"/>
                <w:bCs/>
                <w:lang w:val="es-ES"/>
              </w:rPr>
              <w:t xml:space="preserve"> a la Oficina que siga teniendo en cuenta las asignaciones de frecuencia</w:t>
            </w:r>
            <w:r>
              <w:rPr>
                <w:rFonts w:asciiTheme="majorBidi" w:hAnsiTheme="majorBidi" w:cstheme="majorBidi"/>
                <w:bCs/>
                <w:lang w:val="es-ES"/>
              </w:rPr>
              <w:t>s</w:t>
            </w:r>
            <w:r w:rsidRPr="00FF3F59">
              <w:rPr>
                <w:rFonts w:asciiTheme="majorBidi" w:hAnsiTheme="majorBidi" w:cstheme="majorBidi"/>
                <w:bCs/>
                <w:lang w:val="es-ES"/>
              </w:rPr>
              <w:t xml:space="preserve"> a </w:t>
            </w:r>
            <w:r>
              <w:rPr>
                <w:rFonts w:asciiTheme="majorBidi" w:hAnsiTheme="majorBidi" w:cstheme="majorBidi"/>
                <w:bCs/>
                <w:lang w:val="es-ES"/>
              </w:rPr>
              <w:t>ambas</w:t>
            </w:r>
            <w:r w:rsidRPr="00FF3F59">
              <w:rPr>
                <w:rFonts w:asciiTheme="majorBidi" w:hAnsiTheme="majorBidi" w:cstheme="majorBidi"/>
                <w:bCs/>
                <w:lang w:val="es-ES"/>
              </w:rPr>
              <w:t xml:space="preserve"> redes de satélites hasta el final de la 86</w:t>
            </w:r>
            <w:r>
              <w:rPr>
                <w:rFonts w:asciiTheme="majorBidi" w:hAnsiTheme="majorBidi" w:cstheme="majorBidi"/>
                <w:bCs/>
                <w:lang w:val="es-ES"/>
              </w:rPr>
              <w:t xml:space="preserve">ª </w:t>
            </w:r>
            <w:r w:rsidRPr="00FF3F59">
              <w:rPr>
                <w:rFonts w:asciiTheme="majorBidi" w:hAnsiTheme="majorBidi" w:cstheme="majorBidi"/>
                <w:bCs/>
                <w:lang w:val="es-ES"/>
              </w:rPr>
              <w:t>reunión</w:t>
            </w:r>
            <w:r w:rsidRPr="00D2027A">
              <w:rPr>
                <w:rFonts w:asciiTheme="majorBidi" w:hAnsiTheme="majorBidi" w:cstheme="majorBidi"/>
                <w:bCs/>
                <w:lang w:val="es-ES"/>
              </w:rPr>
              <w:t xml:space="preserve"> (</w:t>
            </w:r>
            <w:r>
              <w:rPr>
                <w:rFonts w:asciiTheme="majorBidi" w:hAnsiTheme="majorBidi" w:cstheme="majorBidi"/>
                <w:bCs/>
                <w:lang w:val="es-ES"/>
              </w:rPr>
              <w:t>véase el</w:t>
            </w:r>
            <w:r w:rsidRPr="00D2027A">
              <w:rPr>
                <w:rFonts w:asciiTheme="majorBidi" w:hAnsiTheme="majorBidi" w:cstheme="majorBidi"/>
                <w:bCs/>
                <w:lang w:val="es-ES"/>
              </w:rPr>
              <w:t xml:space="preserve"> </w:t>
            </w:r>
            <w:hyperlink r:id="rId255" w:history="1">
              <w:r w:rsidRPr="00D2027A">
                <w:rPr>
                  <w:rStyle w:val="Hyperlink"/>
                  <w:rFonts w:asciiTheme="majorBidi" w:hAnsiTheme="majorBidi" w:cstheme="majorBidi"/>
                  <w:bCs/>
                  <w:lang w:val="es-ES"/>
                </w:rPr>
                <w:t>Doc. RRB20-3/14</w:t>
              </w:r>
            </w:hyperlink>
            <w:r w:rsidRPr="00D2027A">
              <w:rPr>
                <w:rFonts w:asciiTheme="majorBidi" w:hAnsiTheme="majorBidi" w:cstheme="majorBidi"/>
                <w:bCs/>
                <w:lang w:val="es-ES"/>
              </w:rPr>
              <w:t>)</w:t>
            </w:r>
          </w:p>
        </w:tc>
      </w:tr>
      <w:tr w:rsidR="00967792" w:rsidRPr="00D2027A" w14:paraId="0547B0AA" w14:textId="77777777" w:rsidTr="00924C8B">
        <w:trPr>
          <w:jc w:val="center"/>
        </w:trPr>
        <w:tc>
          <w:tcPr>
            <w:tcW w:w="183" w:type="pct"/>
          </w:tcPr>
          <w:p w14:paraId="095167CC" w14:textId="5278A2B7" w:rsidR="00967792" w:rsidRPr="00A616CA" w:rsidRDefault="00967792" w:rsidP="00B53355">
            <w:pPr>
              <w:pStyle w:val="Tabletext"/>
              <w:rPr>
                <w:lang w:val="es-ES"/>
              </w:rPr>
            </w:pPr>
            <w:r w:rsidRPr="00A616CA">
              <w:rPr>
                <w:lang w:val="es-ES"/>
              </w:rPr>
              <w:lastRenderedPageBreak/>
              <w:t>78</w:t>
            </w:r>
          </w:p>
        </w:tc>
        <w:tc>
          <w:tcPr>
            <w:tcW w:w="434" w:type="pct"/>
          </w:tcPr>
          <w:p w14:paraId="1307A2A7" w14:textId="6B26797A" w:rsidR="00967792" w:rsidRPr="00A616CA" w:rsidRDefault="00967792" w:rsidP="00B53355">
            <w:pPr>
              <w:pStyle w:val="Tabletext"/>
              <w:rPr>
                <w:lang w:val="es-ES"/>
              </w:rPr>
            </w:pPr>
            <w:r w:rsidRPr="00A616CA">
              <w:rPr>
                <w:lang w:val="es-ES"/>
              </w:rPr>
              <w:t>CMR-19</w:t>
            </w:r>
          </w:p>
        </w:tc>
        <w:tc>
          <w:tcPr>
            <w:tcW w:w="523" w:type="pct"/>
          </w:tcPr>
          <w:p w14:paraId="0D22ABD4" w14:textId="57DAE709" w:rsidR="00967792" w:rsidRPr="00D2027A" w:rsidRDefault="00967792" w:rsidP="00A61288">
            <w:pPr>
              <w:pStyle w:val="Tabletext"/>
              <w:rPr>
                <w:rFonts w:asciiTheme="majorBidi" w:hAnsiTheme="majorBidi" w:cstheme="majorBidi"/>
                <w:bCs/>
                <w:szCs w:val="24"/>
                <w:lang w:val="es-ES"/>
              </w:rPr>
            </w:pPr>
            <w:r w:rsidRPr="00D2027A">
              <w:rPr>
                <w:rFonts w:asciiTheme="majorBidi" w:hAnsiTheme="majorBidi" w:cstheme="majorBidi"/>
                <w:bCs/>
                <w:szCs w:val="24"/>
                <w:lang w:val="es-ES"/>
              </w:rPr>
              <w:t xml:space="preserve">10ª </w:t>
            </w:r>
            <w:r w:rsidRPr="00A61288">
              <w:rPr>
                <w:lang w:val="es-ES"/>
              </w:rPr>
              <w:t>Plenaria</w:t>
            </w:r>
            <w:r w:rsidRPr="00D2027A">
              <w:rPr>
                <w:rFonts w:asciiTheme="majorBidi" w:hAnsiTheme="majorBidi" w:cstheme="majorBidi"/>
                <w:bCs/>
                <w:szCs w:val="24"/>
                <w:lang w:val="es-ES"/>
              </w:rPr>
              <w:t xml:space="preserve"> Doc. </w:t>
            </w:r>
            <w:hyperlink r:id="rId256" w:history="1">
              <w:r w:rsidRPr="00D2027A">
                <w:rPr>
                  <w:rStyle w:val="Hyperlink"/>
                  <w:rFonts w:asciiTheme="majorBidi" w:hAnsiTheme="majorBidi" w:cstheme="majorBidi"/>
                  <w:bCs/>
                  <w:szCs w:val="24"/>
                  <w:lang w:val="es-ES"/>
                </w:rPr>
                <w:t>CMR19/571</w:t>
              </w:r>
            </w:hyperlink>
          </w:p>
          <w:p w14:paraId="26F7AB37" w14:textId="2A6195F0" w:rsidR="00967792" w:rsidRPr="00D2027A" w:rsidRDefault="00967792" w:rsidP="00A61288">
            <w:pPr>
              <w:pStyle w:val="Tabletext"/>
              <w:rPr>
                <w:rFonts w:asciiTheme="majorBidi" w:hAnsiTheme="majorBidi" w:cstheme="majorBidi"/>
                <w:bCs/>
                <w:szCs w:val="24"/>
                <w:lang w:val="es-ES"/>
              </w:rPr>
            </w:pPr>
            <w:r w:rsidRPr="00A61288">
              <w:rPr>
                <w:lang w:val="es-ES"/>
              </w:rPr>
              <w:t>Aprobación</w:t>
            </w:r>
            <w:r>
              <w:rPr>
                <w:rFonts w:asciiTheme="majorBidi" w:hAnsiTheme="majorBidi" w:cstheme="majorBidi"/>
                <w:bCs/>
                <w:szCs w:val="24"/>
                <w:lang w:val="es-ES"/>
              </w:rPr>
              <w:t xml:space="preserve"> del Documento</w:t>
            </w:r>
            <w:r w:rsidRPr="00D2027A">
              <w:rPr>
                <w:rFonts w:asciiTheme="majorBidi" w:hAnsiTheme="majorBidi" w:cstheme="majorBidi"/>
                <w:bCs/>
                <w:szCs w:val="24"/>
                <w:lang w:val="es-ES"/>
              </w:rPr>
              <w:t xml:space="preserve"> </w:t>
            </w:r>
            <w:hyperlink r:id="rId257" w:history="1">
              <w:r w:rsidRPr="00D2027A">
                <w:rPr>
                  <w:rStyle w:val="Hyperlink"/>
                  <w:rFonts w:asciiTheme="majorBidi" w:hAnsiTheme="majorBidi" w:cstheme="majorBidi"/>
                  <w:bCs/>
                  <w:szCs w:val="24"/>
                  <w:lang w:val="es-ES"/>
                </w:rPr>
                <w:t>CMR19/499</w:t>
              </w:r>
            </w:hyperlink>
          </w:p>
        </w:tc>
        <w:tc>
          <w:tcPr>
            <w:tcW w:w="2312" w:type="pct"/>
          </w:tcPr>
          <w:p w14:paraId="63BC14C6" w14:textId="512A177F" w:rsidR="00967792" w:rsidRPr="00A61288" w:rsidRDefault="00967792" w:rsidP="00B53355">
            <w:pPr>
              <w:spacing w:before="40" w:after="40"/>
              <w:rPr>
                <w:sz w:val="22"/>
                <w:lang w:val="es-ES"/>
              </w:rPr>
            </w:pPr>
            <w:r w:rsidRPr="00A61288">
              <w:rPr>
                <w:sz w:val="22"/>
                <w:lang w:val="es-ES"/>
              </w:rPr>
              <w:t>10.2</w:t>
            </w:r>
            <w:r w:rsidRPr="00A61288">
              <w:rPr>
                <w:sz w:val="22"/>
                <w:lang w:val="es-ES"/>
              </w:rPr>
              <w:tab/>
            </w:r>
            <w:bookmarkStart w:id="105" w:name="lt_pId415"/>
            <w:r w:rsidRPr="00A61288">
              <w:rPr>
                <w:sz w:val="22"/>
                <w:lang w:val="es-ES"/>
              </w:rPr>
              <w:t xml:space="preserve">El </w:t>
            </w:r>
            <w:r w:rsidRPr="00A61288">
              <w:rPr>
                <w:b/>
                <w:bCs/>
                <w:sz w:val="22"/>
                <w:lang w:val="es-ES"/>
              </w:rPr>
              <w:t>Presidente</w:t>
            </w:r>
            <w:r w:rsidRPr="00A61288">
              <w:rPr>
                <w:sz w:val="22"/>
                <w:lang w:val="es-ES"/>
              </w:rPr>
              <w:t xml:space="preserve"> invita a los participantes a examinar el Documento</w:t>
            </w:r>
            <w:r w:rsidR="00A61288">
              <w:rPr>
                <w:sz w:val="22"/>
                <w:lang w:val="es-ES"/>
              </w:rPr>
              <w:t> </w:t>
            </w:r>
            <w:r w:rsidRPr="00A61288">
              <w:rPr>
                <w:sz w:val="22"/>
                <w:lang w:val="es-ES"/>
              </w:rPr>
              <w:t>499, cuya aprobación fue aplazada anteriormente en la reunión. Se propone que se apruebe el siguiente texto, contenido en dicho documento, y que se incluya en las actas de la Sesión Plenaria a modo de decisión de la Conferencia:</w:t>
            </w:r>
            <w:bookmarkEnd w:id="105"/>
          </w:p>
          <w:p w14:paraId="4175C952" w14:textId="77777777" w:rsidR="00967792" w:rsidRPr="00A61288" w:rsidRDefault="00967792" w:rsidP="00B53355">
            <w:pPr>
              <w:spacing w:before="40" w:after="40"/>
              <w:rPr>
                <w:b/>
                <w:sz w:val="22"/>
                <w:lang w:val="es-ES"/>
              </w:rPr>
            </w:pPr>
            <w:r w:rsidRPr="00A61288">
              <w:rPr>
                <w:b/>
                <w:sz w:val="22"/>
                <w:lang w:val="es-ES"/>
              </w:rPr>
              <w:t xml:space="preserve">«Entendimiento de la Oficina de Radiocomunicaciones del </w:t>
            </w:r>
            <w:r w:rsidRPr="00A61288">
              <w:rPr>
                <w:b/>
                <w:i/>
                <w:iCs/>
                <w:sz w:val="22"/>
                <w:lang w:val="es-ES"/>
              </w:rPr>
              <w:t>resuelve</w:t>
            </w:r>
            <w:r w:rsidRPr="00A61288">
              <w:rPr>
                <w:b/>
                <w:sz w:val="22"/>
                <w:lang w:val="es-ES"/>
              </w:rPr>
              <w:t xml:space="preserve"> 11 y del Anexo 2 a la Resolución [7(A)-NGSO-MILESTONES] (CMR-19)</w:t>
            </w:r>
          </w:p>
          <w:p w14:paraId="5EB91D03" w14:textId="77777777" w:rsidR="00967792" w:rsidRPr="00A61288" w:rsidRDefault="00967792" w:rsidP="00B53355">
            <w:pPr>
              <w:spacing w:before="40" w:after="40"/>
              <w:rPr>
                <w:sz w:val="22"/>
                <w:lang w:val="es-ES"/>
              </w:rPr>
            </w:pPr>
            <w:r w:rsidRPr="00A61288">
              <w:rPr>
                <w:sz w:val="22"/>
                <w:lang w:val="es-ES"/>
              </w:rPr>
              <w:t xml:space="preserve">La Oficina señala que la Resolución </w:t>
            </w:r>
            <w:r w:rsidRPr="00A61288">
              <w:rPr>
                <w:b/>
                <w:sz w:val="22"/>
                <w:lang w:val="es-ES"/>
              </w:rPr>
              <w:t>[7(A)-NGSO-MILESTONES] (CMR-19)</w:t>
            </w:r>
            <w:r w:rsidRPr="00A61288">
              <w:rPr>
                <w:sz w:val="22"/>
                <w:lang w:val="es-ES"/>
              </w:rPr>
              <w:t xml:space="preserve">, incluido su Anexo 2, no sustituye a la aplicación </w:t>
            </w:r>
            <w:r w:rsidRPr="00A61288">
              <w:rPr>
                <w:sz w:val="22"/>
                <w:lang w:val="es-ES"/>
              </w:rPr>
              <w:lastRenderedPageBreak/>
              <w:t xml:space="preserve">pertinente de las disposiciones del Artículo </w:t>
            </w:r>
            <w:r w:rsidRPr="00A61288">
              <w:rPr>
                <w:b/>
                <w:bCs/>
                <w:sz w:val="22"/>
                <w:lang w:val="es-ES"/>
              </w:rPr>
              <w:t>9</w:t>
            </w:r>
            <w:r w:rsidRPr="00A61288">
              <w:rPr>
                <w:sz w:val="22"/>
                <w:lang w:val="es-ES"/>
              </w:rPr>
              <w:t xml:space="preserve"> del Reglamento de Radiocomunicaciones, en particular el número </w:t>
            </w:r>
            <w:r w:rsidRPr="00A61288">
              <w:rPr>
                <w:b/>
                <w:sz w:val="22"/>
                <w:lang w:val="es-ES"/>
              </w:rPr>
              <w:t>9.6</w:t>
            </w:r>
            <w:r w:rsidRPr="00A61288">
              <w:rPr>
                <w:sz w:val="22"/>
                <w:lang w:val="es-ES"/>
              </w:rPr>
              <w:t xml:space="preserve"> (inicio del proceso de coordinación), los números </w:t>
            </w:r>
            <w:r w:rsidRPr="00A61288">
              <w:rPr>
                <w:b/>
                <w:sz w:val="22"/>
                <w:lang w:val="es-ES"/>
              </w:rPr>
              <w:t>9.50</w:t>
            </w:r>
            <w:r w:rsidRPr="00A61288">
              <w:rPr>
                <w:sz w:val="22"/>
                <w:lang w:val="es-ES"/>
              </w:rPr>
              <w:t xml:space="preserve"> al </w:t>
            </w:r>
            <w:r w:rsidRPr="00A61288">
              <w:rPr>
                <w:b/>
                <w:sz w:val="22"/>
                <w:lang w:val="es-ES"/>
              </w:rPr>
              <w:t>9.52</w:t>
            </w:r>
            <w:r w:rsidRPr="00A61288">
              <w:rPr>
                <w:sz w:val="22"/>
                <w:lang w:val="es-ES"/>
              </w:rPr>
              <w:t xml:space="preserve">, el número </w:t>
            </w:r>
            <w:r w:rsidRPr="00A61288">
              <w:rPr>
                <w:b/>
                <w:sz w:val="22"/>
                <w:lang w:val="es-ES"/>
              </w:rPr>
              <w:t>9.52C</w:t>
            </w:r>
            <w:r w:rsidRPr="00A61288">
              <w:rPr>
                <w:sz w:val="22"/>
                <w:lang w:val="es-ES"/>
              </w:rPr>
              <w:t xml:space="preserve"> (actuación ante una solicitud de coordinación) y el número </w:t>
            </w:r>
            <w:r w:rsidRPr="00A61288">
              <w:rPr>
                <w:b/>
                <w:sz w:val="22"/>
                <w:lang w:val="es-ES"/>
              </w:rPr>
              <w:t>9.53</w:t>
            </w:r>
            <w:r w:rsidRPr="00A61288">
              <w:rPr>
                <w:sz w:val="22"/>
                <w:lang w:val="es-ES"/>
              </w:rPr>
              <w:t xml:space="preserve"> (esfuerzos mutuos de la administración solicitante y de la administración que responde para superar las dificultades) del RR.</w:t>
            </w:r>
          </w:p>
          <w:p w14:paraId="7E9AEE34" w14:textId="77777777" w:rsidR="00967792" w:rsidRPr="00A61288" w:rsidRDefault="00967792" w:rsidP="00B53355">
            <w:pPr>
              <w:spacing w:before="40" w:after="40"/>
              <w:rPr>
                <w:sz w:val="22"/>
                <w:lang w:val="es-ES"/>
              </w:rPr>
            </w:pPr>
            <w:r w:rsidRPr="00A61288">
              <w:rPr>
                <w:sz w:val="22"/>
                <w:lang w:val="es-ES"/>
              </w:rPr>
              <w:t>Este conjunto de disposiciones crea un marco equilibrado en el que ambas administraciones solicitantes y que responde realizan una serie de actos que constituyen el proceso de coordinación bilateral:</w:t>
            </w:r>
          </w:p>
          <w:p w14:paraId="18B1333C" w14:textId="77777777" w:rsidR="00967792" w:rsidRPr="00A61288" w:rsidRDefault="00967792" w:rsidP="00B53355">
            <w:pPr>
              <w:spacing w:before="40" w:after="40"/>
              <w:rPr>
                <w:sz w:val="22"/>
                <w:lang w:val="es-ES"/>
              </w:rPr>
            </w:pPr>
            <w:r w:rsidRPr="00A61288">
              <w:rPr>
                <w:sz w:val="22"/>
                <w:lang w:val="es-ES"/>
              </w:rPr>
              <w:t>–</w:t>
            </w:r>
            <w:r w:rsidRPr="00A61288">
              <w:rPr>
                <w:sz w:val="22"/>
                <w:lang w:val="es-ES"/>
              </w:rPr>
              <w:tab/>
              <w:t>la administración solicitante inicia el proceso;</w:t>
            </w:r>
          </w:p>
          <w:p w14:paraId="61073F77" w14:textId="77777777" w:rsidR="00967792" w:rsidRPr="00A61288" w:rsidRDefault="00967792" w:rsidP="0085397B">
            <w:pPr>
              <w:spacing w:before="40" w:after="40"/>
              <w:ind w:left="794" w:hanging="794"/>
              <w:rPr>
                <w:sz w:val="22"/>
                <w:lang w:val="es-ES"/>
              </w:rPr>
            </w:pPr>
            <w:r w:rsidRPr="00A61288">
              <w:rPr>
                <w:sz w:val="22"/>
                <w:lang w:val="es-ES"/>
              </w:rPr>
              <w:t>–</w:t>
            </w:r>
            <w:r w:rsidRPr="00A61288">
              <w:rPr>
                <w:sz w:val="22"/>
                <w:lang w:val="es-ES"/>
              </w:rPr>
              <w:tab/>
              <w:t>la administración que responde contesta a esta solicitud dando su acuerdo o indicando su desacuerdo junto con información relativa a sus asignaciones en las que se basa el desacuerdo y las sugerencias que pueda ofrecer con miras a una resolución satisfactoria de la cuestión;</w:t>
            </w:r>
          </w:p>
          <w:p w14:paraId="6E1A9AAF" w14:textId="77777777" w:rsidR="00967792" w:rsidRPr="00A61288" w:rsidRDefault="00967792" w:rsidP="0085397B">
            <w:pPr>
              <w:spacing w:before="40" w:after="40"/>
              <w:ind w:left="794" w:hanging="794"/>
              <w:rPr>
                <w:sz w:val="22"/>
                <w:lang w:val="es-ES"/>
              </w:rPr>
            </w:pPr>
            <w:r w:rsidRPr="00A61288">
              <w:rPr>
                <w:sz w:val="22"/>
                <w:lang w:val="es-ES"/>
              </w:rPr>
              <w:t>–</w:t>
            </w:r>
            <w:r w:rsidRPr="00A61288">
              <w:rPr>
                <w:sz w:val="22"/>
                <w:lang w:val="es-ES"/>
              </w:rPr>
              <w:tab/>
              <w:t>ambas administraciones harán todo lo posible para superar las dificultades, de una forma satisfactoria para las partes implicadas.</w:t>
            </w:r>
          </w:p>
          <w:p w14:paraId="0DAD1F58" w14:textId="77777777" w:rsidR="00967792" w:rsidRPr="00A61288" w:rsidRDefault="00967792" w:rsidP="00B53355">
            <w:pPr>
              <w:spacing w:before="40" w:after="40"/>
              <w:rPr>
                <w:sz w:val="22"/>
                <w:lang w:val="es-ES"/>
              </w:rPr>
            </w:pPr>
            <w:r w:rsidRPr="00A61288">
              <w:rPr>
                <w:sz w:val="22"/>
                <w:lang w:val="es-ES"/>
              </w:rPr>
              <w:t xml:space="preserve">Por consiguiente, la Oficina entiende que las administraciones notificantes, cuando presenten, entre otros, el punto 3 del Anexo 2 a la Resolución </w:t>
            </w:r>
            <w:r w:rsidRPr="00A61288">
              <w:rPr>
                <w:b/>
                <w:sz w:val="22"/>
                <w:lang w:val="es-ES"/>
              </w:rPr>
              <w:t>[7(A)-NGSO-MILESTONES] (CMR-19)</w:t>
            </w:r>
            <w:r w:rsidRPr="00A61288">
              <w:rPr>
                <w:sz w:val="22"/>
                <w:lang w:val="es-ES"/>
              </w:rPr>
              <w:t xml:space="preserve"> con arreglo a lo dispuesto en el </w:t>
            </w:r>
            <w:r w:rsidRPr="00A61288">
              <w:rPr>
                <w:i/>
                <w:iCs/>
                <w:sz w:val="22"/>
                <w:lang w:val="es-ES"/>
              </w:rPr>
              <w:t xml:space="preserve">resuelve </w:t>
            </w:r>
            <w:r w:rsidRPr="00A61288">
              <w:rPr>
                <w:sz w:val="22"/>
                <w:lang w:val="es-ES"/>
              </w:rPr>
              <w:t>11 de esta Resolución, deberán informar sobre el estado de la coordinación y sobre los esfuerzos realizados en la coordinación con los sistemas o redes de satélites identificados en virtud de las disposiciones pertinentes de la Sección II del Artículo </w:t>
            </w:r>
            <w:r w:rsidRPr="00A61288">
              <w:rPr>
                <w:b/>
                <w:bCs/>
                <w:sz w:val="22"/>
                <w:lang w:val="es-ES"/>
              </w:rPr>
              <w:t>9</w:t>
            </w:r>
            <w:r w:rsidRPr="00A61288">
              <w:rPr>
                <w:sz w:val="22"/>
                <w:lang w:val="es-ES"/>
              </w:rPr>
              <w:t xml:space="preserve"> del RR.</w:t>
            </w:r>
          </w:p>
          <w:p w14:paraId="45981882" w14:textId="77777777" w:rsidR="00967792" w:rsidRPr="00A61288" w:rsidRDefault="00967792" w:rsidP="00B53355">
            <w:pPr>
              <w:spacing w:before="40" w:after="40"/>
              <w:rPr>
                <w:sz w:val="22"/>
                <w:lang w:val="es-ES"/>
              </w:rPr>
            </w:pPr>
            <w:r w:rsidRPr="00A61288">
              <w:rPr>
                <w:sz w:val="22"/>
                <w:lang w:val="es-ES"/>
              </w:rPr>
              <w:t xml:space="preserve">Las administraciones notificantes también pueden incluir en este punto 3 información sobre actividades de coordinación con sistemas o redes de satélites notificadas ulteriormente de los que tengan conocimiento, que la Oficina entiende que benefician a una administración que solicite la aplicación del </w:t>
            </w:r>
            <w:r w:rsidRPr="00A61288">
              <w:rPr>
                <w:i/>
                <w:iCs/>
                <w:sz w:val="22"/>
                <w:lang w:val="es-ES"/>
              </w:rPr>
              <w:t>resuelve</w:t>
            </w:r>
            <w:r w:rsidRPr="00A61288">
              <w:rPr>
                <w:sz w:val="22"/>
                <w:lang w:val="es-ES"/>
              </w:rPr>
              <w:t xml:space="preserve"> 11. La Oficina señala que es materialmente imposible para una administración incluir información relativa a casos en los que la administración solicitante no ha iniciado </w:t>
            </w:r>
            <w:r w:rsidRPr="00A61288">
              <w:rPr>
                <w:sz w:val="22"/>
                <w:lang w:val="es-ES"/>
              </w:rPr>
              <w:lastRenderedPageBreak/>
              <w:t>contactos a fin de iniciar debates técnicos y de funcionamiento antes de la presentación de la petición de informe en virtud del punto 3.</w:t>
            </w:r>
          </w:p>
          <w:p w14:paraId="76F10D23" w14:textId="77777777" w:rsidR="00967792" w:rsidRPr="00A61288" w:rsidRDefault="00967792" w:rsidP="00B53355">
            <w:pPr>
              <w:spacing w:before="40" w:after="40"/>
              <w:rPr>
                <w:sz w:val="22"/>
                <w:lang w:val="es-ES"/>
              </w:rPr>
            </w:pPr>
            <w:r w:rsidRPr="00A61288">
              <w:rPr>
                <w:sz w:val="22"/>
                <w:lang w:val="es-ES"/>
              </w:rPr>
              <w:t xml:space="preserve">La Oficina entiende finalmente que, al adoptar el </w:t>
            </w:r>
            <w:r w:rsidRPr="00A61288">
              <w:rPr>
                <w:i/>
                <w:iCs/>
                <w:sz w:val="22"/>
                <w:lang w:val="es-ES"/>
              </w:rPr>
              <w:t>resuelve</w:t>
            </w:r>
            <w:r w:rsidRPr="00A61288">
              <w:rPr>
                <w:sz w:val="22"/>
                <w:lang w:val="es-ES"/>
              </w:rPr>
              <w:t xml:space="preserve"> 11 y el Anexo 2 a la Resolución </w:t>
            </w:r>
            <w:r w:rsidRPr="00A61288">
              <w:rPr>
                <w:b/>
                <w:sz w:val="22"/>
                <w:lang w:val="es-ES"/>
              </w:rPr>
              <w:t>[7(A)</w:t>
            </w:r>
            <w:r w:rsidRPr="00A61288">
              <w:rPr>
                <w:b/>
                <w:sz w:val="22"/>
                <w:lang w:val="es-ES"/>
              </w:rPr>
              <w:noBreakHyphen/>
              <w:t>NGSO-MILESTONES] (CMR-19)</w:t>
            </w:r>
            <w:r w:rsidRPr="00A61288">
              <w:rPr>
                <w:sz w:val="22"/>
                <w:lang w:val="es-ES"/>
              </w:rPr>
              <w:t xml:space="preserve">, la CMR-19 decidió establecer un proceso transparente que está abierto a comentarios: cualquier administración que esté en desacuerdo con el contenido del informe facilitado en virtud del punto 3 del Anexo 2 a esta Resolución tendrá la oportunidad de presentar su punto de vista a la Junta del Reglamento de Radiocomunicaciones y la administración que ha presentado el informe tendrá la oportunidad de facilitar aclaraciones sobre la materia. La RRB tendrá en cuenta esta información cuando aplique el </w:t>
            </w:r>
            <w:r w:rsidRPr="00A61288">
              <w:rPr>
                <w:i/>
                <w:iCs/>
                <w:sz w:val="22"/>
                <w:lang w:val="es-ES"/>
              </w:rPr>
              <w:t>resuelve</w:t>
            </w:r>
            <w:r w:rsidRPr="00A61288">
              <w:rPr>
                <w:sz w:val="22"/>
                <w:lang w:val="es-ES"/>
              </w:rPr>
              <w:t> 11</w:t>
            </w:r>
            <w:r w:rsidRPr="00A61288">
              <w:rPr>
                <w:i/>
                <w:sz w:val="22"/>
                <w:lang w:val="es-ES"/>
              </w:rPr>
              <w:t>b)</w:t>
            </w:r>
            <w:r w:rsidRPr="00A61288">
              <w:rPr>
                <w:sz w:val="22"/>
                <w:lang w:val="es-ES"/>
              </w:rPr>
              <w:t xml:space="preserve"> de esta Resolución».</w:t>
            </w:r>
          </w:p>
          <w:p w14:paraId="1891F6B9" w14:textId="77777777" w:rsidR="00967792" w:rsidRPr="00A61288" w:rsidRDefault="00967792" w:rsidP="00B53355">
            <w:pPr>
              <w:spacing w:before="40" w:after="40"/>
              <w:rPr>
                <w:sz w:val="22"/>
                <w:lang w:val="es-ES"/>
              </w:rPr>
            </w:pPr>
            <w:r w:rsidRPr="00A61288">
              <w:rPr>
                <w:sz w:val="22"/>
                <w:lang w:val="es-ES"/>
              </w:rPr>
              <w:t>10.3</w:t>
            </w:r>
            <w:r w:rsidRPr="00A61288">
              <w:rPr>
                <w:sz w:val="22"/>
                <w:lang w:val="es-ES"/>
              </w:rPr>
              <w:tab/>
            </w:r>
            <w:bookmarkStart w:id="106" w:name="lt_pId431"/>
            <w:r w:rsidRPr="00A61288">
              <w:rPr>
                <w:sz w:val="22"/>
                <w:lang w:val="es-ES"/>
              </w:rPr>
              <w:t xml:space="preserve">Así se </w:t>
            </w:r>
            <w:r w:rsidRPr="00A61288">
              <w:rPr>
                <w:b/>
                <w:bCs/>
                <w:sz w:val="22"/>
                <w:lang w:val="es-ES"/>
              </w:rPr>
              <w:t>acuerda</w:t>
            </w:r>
            <w:r w:rsidRPr="00A61288">
              <w:rPr>
                <w:sz w:val="22"/>
                <w:lang w:val="es-ES"/>
              </w:rPr>
              <w:t>.</w:t>
            </w:r>
            <w:bookmarkEnd w:id="106"/>
          </w:p>
          <w:p w14:paraId="06701D4F" w14:textId="720F6526" w:rsidR="00967792" w:rsidRPr="00A61288" w:rsidRDefault="00967792" w:rsidP="00B53355">
            <w:pPr>
              <w:spacing w:before="40" w:after="40"/>
              <w:rPr>
                <w:sz w:val="22"/>
                <w:lang w:val="es-ES"/>
              </w:rPr>
            </w:pPr>
            <w:r w:rsidRPr="00A61288">
              <w:rPr>
                <w:sz w:val="22"/>
                <w:lang w:val="es-ES"/>
              </w:rPr>
              <w:t>10.4</w:t>
            </w:r>
            <w:r w:rsidRPr="00A61288">
              <w:rPr>
                <w:sz w:val="22"/>
                <w:lang w:val="es-ES"/>
              </w:rPr>
              <w:tab/>
            </w:r>
            <w:bookmarkStart w:id="107" w:name="lt_pId433"/>
            <w:r w:rsidRPr="00A61288">
              <w:rPr>
                <w:sz w:val="22"/>
                <w:lang w:val="es-ES"/>
              </w:rPr>
              <w:t xml:space="preserve">Se </w:t>
            </w:r>
            <w:r w:rsidRPr="00A61288">
              <w:rPr>
                <w:b/>
                <w:bCs/>
                <w:sz w:val="22"/>
                <w:lang w:val="es-ES"/>
              </w:rPr>
              <w:t>aprueba</w:t>
            </w:r>
            <w:r w:rsidRPr="00A61288">
              <w:rPr>
                <w:sz w:val="22"/>
                <w:lang w:val="es-ES"/>
              </w:rPr>
              <w:t xml:space="preserve"> el Documento 499.</w:t>
            </w:r>
            <w:bookmarkEnd w:id="107"/>
          </w:p>
        </w:tc>
        <w:tc>
          <w:tcPr>
            <w:tcW w:w="1548" w:type="pct"/>
          </w:tcPr>
          <w:p w14:paraId="106EC9FD" w14:textId="5A6BC97C" w:rsidR="00967792" w:rsidRPr="00A616CA" w:rsidDel="009440F5" w:rsidRDefault="00967792" w:rsidP="00B53355">
            <w:pPr>
              <w:pStyle w:val="Tabletext"/>
              <w:rPr>
                <w:lang w:val="es-ES"/>
              </w:rPr>
            </w:pPr>
            <w:r w:rsidRPr="00A616CA">
              <w:rPr>
                <w:lang w:val="es-ES"/>
              </w:rPr>
              <w:lastRenderedPageBreak/>
              <w:t>–</w:t>
            </w:r>
          </w:p>
        </w:tc>
      </w:tr>
      <w:tr w:rsidR="00967792" w:rsidRPr="00D2027A" w14:paraId="336345C1" w14:textId="77777777" w:rsidTr="00924C8B">
        <w:trPr>
          <w:jc w:val="center"/>
        </w:trPr>
        <w:tc>
          <w:tcPr>
            <w:tcW w:w="183" w:type="pct"/>
          </w:tcPr>
          <w:p w14:paraId="05967F6F" w14:textId="254E115C" w:rsidR="00967792" w:rsidRPr="00A616CA" w:rsidRDefault="00967792" w:rsidP="00B53355">
            <w:pPr>
              <w:pStyle w:val="Tabletext"/>
              <w:rPr>
                <w:lang w:val="es-ES"/>
              </w:rPr>
            </w:pPr>
            <w:r w:rsidRPr="00A616CA">
              <w:rPr>
                <w:lang w:val="es-ES"/>
              </w:rPr>
              <w:lastRenderedPageBreak/>
              <w:t>79</w:t>
            </w:r>
          </w:p>
        </w:tc>
        <w:tc>
          <w:tcPr>
            <w:tcW w:w="434" w:type="pct"/>
          </w:tcPr>
          <w:p w14:paraId="79A37D1B" w14:textId="1AB2E2DA" w:rsidR="00967792" w:rsidRPr="00A616CA" w:rsidRDefault="00967792" w:rsidP="00B53355">
            <w:pPr>
              <w:pStyle w:val="Tabletext"/>
              <w:rPr>
                <w:lang w:val="es-ES"/>
              </w:rPr>
            </w:pPr>
            <w:r w:rsidRPr="00A616CA">
              <w:rPr>
                <w:lang w:val="es-ES"/>
              </w:rPr>
              <w:t>CMR-19</w:t>
            </w:r>
          </w:p>
        </w:tc>
        <w:tc>
          <w:tcPr>
            <w:tcW w:w="523" w:type="pct"/>
          </w:tcPr>
          <w:p w14:paraId="7F620AAE" w14:textId="12E0B86F" w:rsidR="00967792" w:rsidRPr="00D2027A" w:rsidRDefault="00967792" w:rsidP="00A61288">
            <w:pPr>
              <w:pStyle w:val="Tabletext"/>
              <w:rPr>
                <w:rFonts w:asciiTheme="majorBidi" w:hAnsiTheme="majorBidi" w:cstheme="majorBidi"/>
                <w:bCs/>
                <w:szCs w:val="24"/>
                <w:lang w:val="es-ES"/>
              </w:rPr>
            </w:pPr>
            <w:r w:rsidRPr="00A61288">
              <w:rPr>
                <w:lang w:val="es-ES"/>
              </w:rPr>
              <w:t>10ª</w:t>
            </w:r>
            <w:r>
              <w:rPr>
                <w:rFonts w:asciiTheme="majorBidi" w:hAnsiTheme="majorBidi" w:cstheme="majorBidi"/>
                <w:bCs/>
                <w:szCs w:val="24"/>
                <w:lang w:val="es-ES"/>
              </w:rPr>
              <w:t xml:space="preserve"> </w:t>
            </w:r>
            <w:r w:rsidR="0085397B">
              <w:rPr>
                <w:rFonts w:asciiTheme="majorBidi" w:hAnsiTheme="majorBidi" w:cstheme="majorBidi"/>
                <w:bCs/>
                <w:szCs w:val="24"/>
                <w:lang w:val="es-ES"/>
              </w:rPr>
              <w:t>Plenaria</w:t>
            </w:r>
            <w:r w:rsidR="0025704A">
              <w:rPr>
                <w:rFonts w:asciiTheme="majorBidi" w:hAnsiTheme="majorBidi" w:cstheme="majorBidi"/>
                <w:bCs/>
                <w:szCs w:val="24"/>
                <w:lang w:val="es-ES"/>
              </w:rPr>
              <w:br/>
            </w:r>
            <w:r w:rsidRPr="00D2027A">
              <w:rPr>
                <w:rFonts w:asciiTheme="majorBidi" w:hAnsiTheme="majorBidi" w:cstheme="majorBidi"/>
                <w:bCs/>
                <w:szCs w:val="24"/>
                <w:lang w:val="es-ES"/>
              </w:rPr>
              <w:t xml:space="preserve">Doc. </w:t>
            </w:r>
            <w:hyperlink r:id="rId258" w:history="1">
              <w:r w:rsidRPr="00D2027A">
                <w:rPr>
                  <w:rStyle w:val="Hyperlink"/>
                  <w:rFonts w:asciiTheme="majorBidi" w:hAnsiTheme="majorBidi" w:cstheme="majorBidi"/>
                  <w:bCs/>
                  <w:szCs w:val="24"/>
                  <w:lang w:val="es-ES"/>
                </w:rPr>
                <w:t>CMR19/571</w:t>
              </w:r>
            </w:hyperlink>
            <w:r w:rsidRPr="00D2027A">
              <w:rPr>
                <w:rFonts w:asciiTheme="majorBidi" w:hAnsiTheme="majorBidi" w:cstheme="majorBidi"/>
                <w:bCs/>
                <w:szCs w:val="24"/>
                <w:lang w:val="es-ES"/>
              </w:rPr>
              <w:t xml:space="preserve"> </w:t>
            </w:r>
          </w:p>
          <w:p w14:paraId="10036AB6" w14:textId="36952A29" w:rsidR="00967792" w:rsidRPr="00D2027A" w:rsidRDefault="00967792" w:rsidP="00A61288">
            <w:pPr>
              <w:pStyle w:val="Tabletext"/>
              <w:rPr>
                <w:rFonts w:asciiTheme="majorBidi" w:hAnsiTheme="majorBidi" w:cstheme="majorBidi"/>
                <w:bCs/>
                <w:szCs w:val="24"/>
                <w:lang w:val="es-ES"/>
              </w:rPr>
            </w:pPr>
            <w:r w:rsidRPr="00A61288">
              <w:rPr>
                <w:lang w:val="es-ES"/>
              </w:rPr>
              <w:t>Aprobación</w:t>
            </w:r>
            <w:r>
              <w:rPr>
                <w:rFonts w:asciiTheme="majorBidi" w:hAnsiTheme="majorBidi" w:cstheme="majorBidi"/>
                <w:bCs/>
                <w:szCs w:val="24"/>
                <w:lang w:val="es-ES"/>
              </w:rPr>
              <w:t xml:space="preserve"> del Documento</w:t>
            </w:r>
            <w:r w:rsidRPr="00D2027A">
              <w:rPr>
                <w:rFonts w:asciiTheme="majorBidi" w:hAnsiTheme="majorBidi" w:cstheme="majorBidi"/>
                <w:bCs/>
                <w:szCs w:val="24"/>
                <w:lang w:val="es-ES"/>
              </w:rPr>
              <w:t xml:space="preserve"> </w:t>
            </w:r>
            <w:hyperlink r:id="rId259" w:history="1">
              <w:r w:rsidRPr="00D2027A">
                <w:rPr>
                  <w:rStyle w:val="Hyperlink"/>
                  <w:rFonts w:asciiTheme="majorBidi" w:hAnsiTheme="majorBidi" w:cstheme="majorBidi"/>
                  <w:bCs/>
                  <w:szCs w:val="24"/>
                  <w:lang w:val="es-ES"/>
                </w:rPr>
                <w:t>CMR19/500</w:t>
              </w:r>
            </w:hyperlink>
          </w:p>
        </w:tc>
        <w:tc>
          <w:tcPr>
            <w:tcW w:w="2312" w:type="pct"/>
          </w:tcPr>
          <w:p w14:paraId="45FAB780" w14:textId="24A2B915" w:rsidR="00967792" w:rsidRPr="00A61288" w:rsidRDefault="00967792" w:rsidP="00B53355">
            <w:pPr>
              <w:spacing w:before="40" w:after="40"/>
              <w:rPr>
                <w:sz w:val="22"/>
                <w:lang w:val="es-ES"/>
              </w:rPr>
            </w:pPr>
            <w:r w:rsidRPr="00A61288">
              <w:rPr>
                <w:sz w:val="22"/>
                <w:lang w:val="es-ES"/>
              </w:rPr>
              <w:t>10.5</w:t>
            </w:r>
            <w:r w:rsidRPr="00A61288">
              <w:rPr>
                <w:sz w:val="22"/>
                <w:lang w:val="es-ES"/>
              </w:rPr>
              <w:tab/>
            </w:r>
            <w:bookmarkStart w:id="108" w:name="lt_pId435"/>
            <w:r w:rsidRPr="00A61288">
              <w:rPr>
                <w:sz w:val="22"/>
                <w:lang w:val="es-ES"/>
              </w:rPr>
              <w:t xml:space="preserve">El </w:t>
            </w:r>
            <w:r w:rsidRPr="00A61288">
              <w:rPr>
                <w:b/>
                <w:bCs/>
                <w:sz w:val="22"/>
                <w:lang w:val="es-ES"/>
              </w:rPr>
              <w:t>Presidente</w:t>
            </w:r>
            <w:r w:rsidRPr="00A61288">
              <w:rPr>
                <w:sz w:val="22"/>
                <w:lang w:val="es-ES"/>
              </w:rPr>
              <w:t xml:space="preserve"> invita a los participantes a examinar el Documento</w:t>
            </w:r>
            <w:r w:rsidR="0085397B">
              <w:rPr>
                <w:sz w:val="22"/>
                <w:lang w:val="es-ES"/>
              </w:rPr>
              <w:t> </w:t>
            </w:r>
            <w:r w:rsidRPr="00A61288">
              <w:rPr>
                <w:sz w:val="22"/>
                <w:lang w:val="es-ES"/>
              </w:rPr>
              <w:t>500, cuya aprobación fue aplazada anteriormente en la reunión. Se propone que se apruebe el siguiente texto, contenido en dicho documento, y que se incluya en las actas de la Sesión Plenaria a modo de decisión de la Conferencia</w:t>
            </w:r>
            <w:bookmarkStart w:id="109" w:name="lt_pId436"/>
            <w:bookmarkEnd w:id="108"/>
            <w:r w:rsidRPr="00A61288">
              <w:rPr>
                <w:sz w:val="22"/>
                <w:lang w:val="es-ES"/>
              </w:rPr>
              <w:t>:</w:t>
            </w:r>
            <w:bookmarkEnd w:id="109"/>
          </w:p>
          <w:p w14:paraId="3E5E8FED" w14:textId="77777777" w:rsidR="00967792" w:rsidRPr="00A61288" w:rsidRDefault="00967792" w:rsidP="00B53355">
            <w:pPr>
              <w:spacing w:before="40" w:after="40"/>
              <w:rPr>
                <w:sz w:val="22"/>
                <w:lang w:val="es-ES"/>
              </w:rPr>
            </w:pPr>
            <w:r w:rsidRPr="00A61288">
              <w:rPr>
                <w:sz w:val="22"/>
                <w:lang w:val="es-ES"/>
              </w:rPr>
              <w:t>«1</w:t>
            </w:r>
            <w:r w:rsidRPr="00A61288">
              <w:rPr>
                <w:sz w:val="22"/>
                <w:lang w:val="es-ES"/>
              </w:rPr>
              <w:tab/>
              <w:t xml:space="preserve">La CMR-19 ha adoptado un nuevo enfoque basado en objetivos intermedios para el despliegue de los sistemas de satélites no geoestacionarios en bandas y servicios específicos. La CMR-19 indica al Director de la Oficina de Radiocomunicaciones que, con el enfoque por objetivos, la CMR-19 no promueve la utilización rutinaria del número </w:t>
            </w:r>
            <w:r w:rsidRPr="00A61288">
              <w:rPr>
                <w:b/>
                <w:bCs/>
                <w:sz w:val="22"/>
                <w:lang w:val="es-ES"/>
              </w:rPr>
              <w:t>13.6</w:t>
            </w:r>
            <w:r w:rsidRPr="00A61288">
              <w:rPr>
                <w:sz w:val="22"/>
                <w:lang w:val="es-ES"/>
              </w:rPr>
              <w:t xml:space="preserve"> del Reglamento de Radiocomunicaciones cuando no se disponga de información fiable, con el objeto de recabar la confirmación del despliegue del número de satélites en los planos orbitales notificados para los sistemas de satélites de órbita no geoestacionaria en las bandas de frecuencias y los servicios no enumerados en el </w:t>
            </w:r>
            <w:r w:rsidRPr="00A61288">
              <w:rPr>
                <w:i/>
                <w:iCs/>
                <w:sz w:val="22"/>
                <w:lang w:val="es-ES"/>
              </w:rPr>
              <w:t>resuelve</w:t>
            </w:r>
            <w:r w:rsidRPr="00A61288">
              <w:rPr>
                <w:sz w:val="22"/>
                <w:lang w:val="es-ES"/>
              </w:rPr>
              <w:t> 1 de la nueva Resolución.</w:t>
            </w:r>
          </w:p>
          <w:p w14:paraId="4CC45C8D" w14:textId="77777777" w:rsidR="00967792" w:rsidRPr="00A61288" w:rsidRDefault="00967792" w:rsidP="00B53355">
            <w:pPr>
              <w:spacing w:before="40" w:after="40"/>
              <w:rPr>
                <w:sz w:val="22"/>
                <w:lang w:val="es-ES"/>
              </w:rPr>
            </w:pPr>
            <w:r w:rsidRPr="00A61288">
              <w:rPr>
                <w:sz w:val="22"/>
                <w:lang w:val="es-ES"/>
              </w:rPr>
              <w:t>2</w:t>
            </w:r>
            <w:r w:rsidRPr="00A61288">
              <w:rPr>
                <w:sz w:val="22"/>
                <w:lang w:val="es-ES"/>
              </w:rPr>
              <w:tab/>
              <w:t xml:space="preserve">La CMR-19 invita al UIT-R a estudiar, con carácter de urgencia, las tolerancias de determinadas características orbitales de las estaciones espaciales no OSG de los servicios fijo por satélite, móvil por satélite o de radiodifusión por satélite a fin de tener en </w:t>
            </w:r>
            <w:r w:rsidRPr="00A61288">
              <w:rPr>
                <w:sz w:val="22"/>
                <w:lang w:val="es-ES"/>
              </w:rPr>
              <w:lastRenderedPageBreak/>
              <w:t>cuenta las posibles diferencias entre las características orbitales notificadas y desplegadas respecto de la inclinación del plano orbital, la altitud del apogeo de la estación espacial, la altitud del perigeo de la estación espacial y el argumento del perigeo del plano orbital.</w:t>
            </w:r>
          </w:p>
          <w:p w14:paraId="241F64D1" w14:textId="77777777" w:rsidR="00967792" w:rsidRPr="00A61288" w:rsidRDefault="00967792" w:rsidP="00B53355">
            <w:pPr>
              <w:spacing w:before="40" w:after="40"/>
              <w:rPr>
                <w:sz w:val="22"/>
                <w:lang w:val="es-ES"/>
              </w:rPr>
            </w:pPr>
            <w:r w:rsidRPr="00A61288">
              <w:rPr>
                <w:sz w:val="22"/>
                <w:lang w:val="es-ES"/>
              </w:rPr>
              <w:t>3</w:t>
            </w:r>
            <w:r w:rsidRPr="00A61288">
              <w:rPr>
                <w:sz w:val="22"/>
                <w:lang w:val="es-ES"/>
              </w:rPr>
              <w:tab/>
              <w:t xml:space="preserve">La CMR-19 invita al UIT-R a estudiar, con carácter urgente, la posible elaboración de un procedimiento para después de cada objetivo intermedio, teniendo en cuenta la información definida en el § 18 de la Resolución </w:t>
            </w:r>
            <w:r w:rsidRPr="00A61288">
              <w:rPr>
                <w:b/>
                <w:bCs/>
                <w:sz w:val="22"/>
                <w:lang w:val="es-ES"/>
              </w:rPr>
              <w:t>[7(A)-NGSO-MILESTONES]</w:t>
            </w:r>
            <w:r w:rsidRPr="00A61288">
              <w:rPr>
                <w:sz w:val="22"/>
                <w:lang w:val="es-ES"/>
              </w:rPr>
              <w:t>.</w:t>
            </w:r>
          </w:p>
          <w:p w14:paraId="636B665D" w14:textId="77777777" w:rsidR="00967792" w:rsidRPr="00A61288" w:rsidRDefault="00967792" w:rsidP="00B53355">
            <w:pPr>
              <w:spacing w:before="40" w:after="40"/>
              <w:rPr>
                <w:sz w:val="22"/>
                <w:lang w:val="es-ES"/>
              </w:rPr>
            </w:pPr>
            <w:r w:rsidRPr="00A61288">
              <w:rPr>
                <w:sz w:val="22"/>
                <w:lang w:val="es-ES"/>
              </w:rPr>
              <w:t>Además, la CMR-19 encarga a la Oficina que, al aplicar las disposiciones pertinentes del RR (por ejemplo, el número </w:t>
            </w:r>
            <w:r w:rsidRPr="00A61288">
              <w:rPr>
                <w:b/>
                <w:bCs/>
                <w:sz w:val="22"/>
                <w:lang w:val="es-ES"/>
              </w:rPr>
              <w:t>11.44C.2</w:t>
            </w:r>
            <w:r w:rsidRPr="00A61288">
              <w:rPr>
                <w:sz w:val="22"/>
                <w:lang w:val="es-ES"/>
              </w:rPr>
              <w:t xml:space="preserve"> o el </w:t>
            </w:r>
            <w:r w:rsidRPr="00A61288">
              <w:rPr>
                <w:i/>
                <w:iCs/>
                <w:sz w:val="22"/>
                <w:lang w:val="es-ES"/>
              </w:rPr>
              <w:t>resuelve</w:t>
            </w:r>
            <w:r w:rsidRPr="00A61288">
              <w:rPr>
                <w:sz w:val="22"/>
                <w:lang w:val="es-ES"/>
              </w:rPr>
              <w:t> 9</w:t>
            </w:r>
            <w:r w:rsidRPr="00A61288">
              <w:rPr>
                <w:i/>
                <w:iCs/>
                <w:sz w:val="22"/>
                <w:lang w:val="es-ES"/>
              </w:rPr>
              <w:t>d)</w:t>
            </w:r>
            <w:r w:rsidRPr="00A61288">
              <w:rPr>
                <w:sz w:val="22"/>
                <w:lang w:val="es-ES"/>
              </w:rPr>
              <w:t xml:space="preserve"> de la Resolución </w:t>
            </w:r>
            <w:r w:rsidRPr="00A61288">
              <w:rPr>
                <w:b/>
                <w:bCs/>
                <w:sz w:val="22"/>
                <w:lang w:val="es-ES"/>
              </w:rPr>
              <w:t>[7(A)</w:t>
            </w:r>
            <w:r w:rsidRPr="00A61288">
              <w:rPr>
                <w:b/>
                <w:bCs/>
                <w:sz w:val="22"/>
                <w:lang w:val="es-ES"/>
              </w:rPr>
              <w:noBreakHyphen/>
              <w:t>NGSO</w:t>
            </w:r>
            <w:r w:rsidRPr="00A61288">
              <w:rPr>
                <w:b/>
                <w:bCs/>
                <w:sz w:val="22"/>
                <w:lang w:val="es-ES"/>
              </w:rPr>
              <w:noBreakHyphen/>
              <w:t>MILESTONES]</w:t>
            </w:r>
            <w:r w:rsidRPr="00A61288">
              <w:rPr>
                <w:sz w:val="22"/>
                <w:lang w:val="es-ES"/>
              </w:rPr>
              <w:t>), actúe con la máxima cautela hasta que el UIT-R concluya los estudios sobre tolerancias».</w:t>
            </w:r>
          </w:p>
          <w:p w14:paraId="2A42DFB8" w14:textId="77777777" w:rsidR="00967792" w:rsidRPr="00A61288" w:rsidRDefault="00967792" w:rsidP="00B53355">
            <w:pPr>
              <w:spacing w:before="40" w:after="40"/>
              <w:rPr>
                <w:sz w:val="22"/>
                <w:lang w:val="es-ES"/>
              </w:rPr>
            </w:pPr>
            <w:r w:rsidRPr="00A61288">
              <w:rPr>
                <w:sz w:val="22"/>
                <w:lang w:val="es-ES"/>
              </w:rPr>
              <w:t>10.6</w:t>
            </w:r>
            <w:r w:rsidRPr="00A61288">
              <w:rPr>
                <w:sz w:val="22"/>
                <w:lang w:val="es-ES"/>
              </w:rPr>
              <w:tab/>
            </w:r>
            <w:bookmarkStart w:id="110" w:name="lt_pId446"/>
            <w:r w:rsidRPr="00A61288">
              <w:rPr>
                <w:sz w:val="22"/>
                <w:lang w:val="es-ES"/>
              </w:rPr>
              <w:t xml:space="preserve">Así se </w:t>
            </w:r>
            <w:r w:rsidRPr="00A61288">
              <w:rPr>
                <w:b/>
                <w:bCs/>
                <w:sz w:val="22"/>
                <w:lang w:val="es-ES"/>
              </w:rPr>
              <w:t>acuerda</w:t>
            </w:r>
            <w:r w:rsidRPr="00A61288">
              <w:rPr>
                <w:sz w:val="22"/>
                <w:lang w:val="es-ES"/>
              </w:rPr>
              <w:t>.</w:t>
            </w:r>
            <w:bookmarkEnd w:id="110"/>
          </w:p>
          <w:p w14:paraId="6E218794" w14:textId="6EFE8FCC" w:rsidR="00967792" w:rsidRPr="00A61288" w:rsidRDefault="00967792" w:rsidP="00B53355">
            <w:pPr>
              <w:spacing w:before="40" w:after="40"/>
              <w:rPr>
                <w:sz w:val="22"/>
                <w:lang w:val="es-ES"/>
              </w:rPr>
            </w:pPr>
            <w:r w:rsidRPr="00A61288">
              <w:rPr>
                <w:sz w:val="22"/>
                <w:lang w:val="es-ES"/>
              </w:rPr>
              <w:t>10.7</w:t>
            </w:r>
            <w:r w:rsidRPr="00A61288">
              <w:rPr>
                <w:sz w:val="22"/>
                <w:lang w:val="es-ES"/>
              </w:rPr>
              <w:tab/>
            </w:r>
            <w:bookmarkStart w:id="111" w:name="lt_pId448"/>
            <w:r w:rsidRPr="00A61288">
              <w:rPr>
                <w:sz w:val="22"/>
                <w:lang w:val="es-ES"/>
              </w:rPr>
              <w:t xml:space="preserve">Se </w:t>
            </w:r>
            <w:r w:rsidRPr="00A61288">
              <w:rPr>
                <w:b/>
                <w:bCs/>
                <w:sz w:val="22"/>
                <w:lang w:val="es-ES"/>
              </w:rPr>
              <w:t>aprueba</w:t>
            </w:r>
            <w:r w:rsidRPr="00A61288">
              <w:rPr>
                <w:sz w:val="22"/>
                <w:lang w:val="es-ES"/>
              </w:rPr>
              <w:t xml:space="preserve"> el Documento 500.</w:t>
            </w:r>
            <w:bookmarkEnd w:id="111"/>
          </w:p>
        </w:tc>
        <w:tc>
          <w:tcPr>
            <w:tcW w:w="1548" w:type="pct"/>
          </w:tcPr>
          <w:p w14:paraId="20C7FDE0" w14:textId="73B49078" w:rsidR="00967792" w:rsidRPr="00D2027A" w:rsidDel="009440F5" w:rsidRDefault="00967792" w:rsidP="00B53355">
            <w:pPr>
              <w:pStyle w:val="Tabletext"/>
              <w:rPr>
                <w:rFonts w:asciiTheme="majorBidi" w:hAnsiTheme="majorBidi" w:cstheme="majorBidi"/>
                <w:szCs w:val="24"/>
                <w:lang w:val="es-ES"/>
              </w:rPr>
            </w:pPr>
            <w:r w:rsidRPr="00913415">
              <w:rPr>
                <w:rFonts w:asciiTheme="majorBidi" w:hAnsiTheme="majorBidi" w:cstheme="majorBidi"/>
                <w:bCs/>
                <w:lang w:val="es-ES"/>
              </w:rPr>
              <w:lastRenderedPageBreak/>
              <w:t xml:space="preserve">La Junta decide incluir la decisión como nota en la Regla de Procedimiento correspondiente al </w:t>
            </w:r>
            <w:r>
              <w:rPr>
                <w:rFonts w:asciiTheme="majorBidi" w:hAnsiTheme="majorBidi" w:cstheme="majorBidi"/>
                <w:bCs/>
                <w:lang w:val="es-ES"/>
              </w:rPr>
              <w:t xml:space="preserve">Artículo 13 </w:t>
            </w:r>
            <w:r w:rsidRPr="00913415">
              <w:rPr>
                <w:rFonts w:asciiTheme="majorBidi" w:hAnsiTheme="majorBidi" w:cstheme="majorBidi"/>
                <w:bCs/>
                <w:lang w:val="es-ES"/>
              </w:rPr>
              <w:t xml:space="preserve">del RR en su </w:t>
            </w:r>
            <w:r>
              <w:rPr>
                <w:rFonts w:asciiTheme="majorBidi" w:hAnsiTheme="majorBidi" w:cstheme="majorBidi"/>
                <w:bCs/>
                <w:lang w:val="es-ES"/>
              </w:rPr>
              <w:t>85</w:t>
            </w:r>
            <w:r w:rsidRPr="00913415">
              <w:rPr>
                <w:rFonts w:asciiTheme="majorBidi" w:hAnsiTheme="majorBidi" w:cstheme="majorBidi"/>
                <w:bCs/>
                <w:lang w:val="es-ES"/>
              </w:rPr>
              <w:t xml:space="preserve">ª </w:t>
            </w:r>
            <w:r w:rsidRPr="00A616CA">
              <w:rPr>
                <w:lang w:val="es-ES"/>
              </w:rPr>
              <w:t>reunión</w:t>
            </w:r>
            <w:r w:rsidRPr="00913415">
              <w:rPr>
                <w:rFonts w:asciiTheme="majorBidi" w:hAnsiTheme="majorBidi" w:cstheme="majorBidi"/>
                <w:bCs/>
                <w:lang w:val="es-ES"/>
              </w:rPr>
              <w:t xml:space="preserve"> </w:t>
            </w:r>
            <w:r w:rsidRPr="00D2027A">
              <w:rPr>
                <w:rFonts w:asciiTheme="majorBidi" w:hAnsiTheme="majorBidi" w:cstheme="majorBidi"/>
                <w:bCs/>
                <w:lang w:val="es-ES"/>
              </w:rPr>
              <w:t>(</w:t>
            </w:r>
            <w:hyperlink r:id="rId260" w:history="1">
              <w:r w:rsidR="00A61288" w:rsidRPr="00D2027A">
                <w:rPr>
                  <w:rStyle w:val="Hyperlink"/>
                  <w:rFonts w:asciiTheme="majorBidi" w:hAnsiTheme="majorBidi" w:cstheme="majorBidi"/>
                  <w:bCs/>
                  <w:lang w:val="es-ES"/>
                </w:rPr>
                <w:t>CR/471</w:t>
              </w:r>
            </w:hyperlink>
            <w:r w:rsidRPr="00D2027A">
              <w:rPr>
                <w:rFonts w:asciiTheme="majorBidi" w:hAnsiTheme="majorBidi" w:cstheme="majorBidi"/>
                <w:bCs/>
                <w:lang w:val="es-ES"/>
              </w:rPr>
              <w:t>).</w:t>
            </w:r>
          </w:p>
        </w:tc>
      </w:tr>
      <w:tr w:rsidR="00967792" w:rsidRPr="00D2027A" w14:paraId="7ACE8961" w14:textId="77777777" w:rsidTr="00924C8B">
        <w:trPr>
          <w:jc w:val="center"/>
        </w:trPr>
        <w:tc>
          <w:tcPr>
            <w:tcW w:w="183" w:type="pct"/>
          </w:tcPr>
          <w:p w14:paraId="6E8C48E5" w14:textId="48735839" w:rsidR="00967792" w:rsidRPr="00A616CA" w:rsidRDefault="00967792" w:rsidP="00B53355">
            <w:pPr>
              <w:pStyle w:val="Tabletext"/>
              <w:rPr>
                <w:lang w:val="es-ES"/>
              </w:rPr>
            </w:pPr>
            <w:r w:rsidRPr="00A616CA">
              <w:rPr>
                <w:lang w:val="es-ES"/>
              </w:rPr>
              <w:t>80</w:t>
            </w:r>
          </w:p>
        </w:tc>
        <w:tc>
          <w:tcPr>
            <w:tcW w:w="434" w:type="pct"/>
          </w:tcPr>
          <w:p w14:paraId="16D57A98" w14:textId="1171A200" w:rsidR="00967792" w:rsidRPr="00A616CA" w:rsidRDefault="00967792" w:rsidP="00B53355">
            <w:pPr>
              <w:pStyle w:val="Tabletext"/>
              <w:rPr>
                <w:lang w:val="es-ES"/>
              </w:rPr>
            </w:pPr>
            <w:r w:rsidRPr="00A616CA">
              <w:rPr>
                <w:lang w:val="es-ES"/>
              </w:rPr>
              <w:t>CMR-19</w:t>
            </w:r>
          </w:p>
        </w:tc>
        <w:tc>
          <w:tcPr>
            <w:tcW w:w="523" w:type="pct"/>
          </w:tcPr>
          <w:p w14:paraId="37EB2D5F" w14:textId="21416A45" w:rsidR="00967792" w:rsidRPr="00D2027A" w:rsidRDefault="00967792" w:rsidP="00A61288">
            <w:pPr>
              <w:pStyle w:val="Tabletext"/>
              <w:rPr>
                <w:rFonts w:asciiTheme="majorBidi" w:hAnsiTheme="majorBidi" w:cstheme="majorBidi"/>
                <w:bCs/>
                <w:szCs w:val="24"/>
                <w:lang w:val="es-ES"/>
              </w:rPr>
            </w:pPr>
            <w:r>
              <w:rPr>
                <w:rFonts w:asciiTheme="majorBidi" w:hAnsiTheme="majorBidi" w:cstheme="majorBidi"/>
                <w:bCs/>
                <w:szCs w:val="24"/>
                <w:lang w:val="es-ES"/>
              </w:rPr>
              <w:t xml:space="preserve">10ª </w:t>
            </w:r>
            <w:r w:rsidR="0085397B">
              <w:rPr>
                <w:rFonts w:asciiTheme="majorBidi" w:hAnsiTheme="majorBidi" w:cstheme="majorBidi"/>
                <w:bCs/>
                <w:szCs w:val="24"/>
                <w:lang w:val="es-ES"/>
              </w:rPr>
              <w:t>Plenaria</w:t>
            </w:r>
            <w:r w:rsidR="0025704A">
              <w:rPr>
                <w:rFonts w:asciiTheme="majorBidi" w:hAnsiTheme="majorBidi" w:cstheme="majorBidi"/>
                <w:bCs/>
                <w:szCs w:val="24"/>
                <w:lang w:val="es-ES"/>
              </w:rPr>
              <w:br/>
            </w:r>
            <w:r w:rsidRPr="00D2027A">
              <w:rPr>
                <w:rFonts w:asciiTheme="majorBidi" w:hAnsiTheme="majorBidi" w:cstheme="majorBidi"/>
                <w:bCs/>
                <w:szCs w:val="24"/>
                <w:lang w:val="es-ES"/>
              </w:rPr>
              <w:t xml:space="preserve">Doc. </w:t>
            </w:r>
            <w:hyperlink r:id="rId261" w:history="1">
              <w:r w:rsidRPr="00D2027A">
                <w:rPr>
                  <w:rStyle w:val="Hyperlink"/>
                  <w:rFonts w:asciiTheme="majorBidi" w:hAnsiTheme="majorBidi" w:cstheme="majorBidi"/>
                  <w:bCs/>
                  <w:szCs w:val="24"/>
                  <w:lang w:val="es-ES"/>
                </w:rPr>
                <w:t>CMR19/571</w:t>
              </w:r>
            </w:hyperlink>
            <w:r w:rsidRPr="00D2027A">
              <w:rPr>
                <w:rFonts w:asciiTheme="majorBidi" w:hAnsiTheme="majorBidi" w:cstheme="majorBidi"/>
                <w:bCs/>
                <w:szCs w:val="24"/>
                <w:lang w:val="es-ES"/>
              </w:rPr>
              <w:t xml:space="preserve"> </w:t>
            </w:r>
          </w:p>
          <w:p w14:paraId="16CCE75F" w14:textId="36F8DCA3" w:rsidR="00967792" w:rsidRPr="00D2027A" w:rsidRDefault="00967792" w:rsidP="00A61288">
            <w:pPr>
              <w:pStyle w:val="Tabletext"/>
              <w:rPr>
                <w:rFonts w:asciiTheme="majorBidi" w:hAnsiTheme="majorBidi" w:cstheme="majorBidi"/>
                <w:bCs/>
                <w:szCs w:val="24"/>
                <w:lang w:val="es-ES"/>
              </w:rPr>
            </w:pPr>
            <w:r w:rsidRPr="00A61288">
              <w:rPr>
                <w:lang w:val="es-ES"/>
              </w:rPr>
              <w:t>Aprobación</w:t>
            </w:r>
            <w:r>
              <w:rPr>
                <w:rFonts w:asciiTheme="majorBidi" w:hAnsiTheme="majorBidi" w:cstheme="majorBidi"/>
                <w:bCs/>
                <w:szCs w:val="24"/>
                <w:lang w:val="es-ES"/>
              </w:rPr>
              <w:t xml:space="preserve"> del Documento</w:t>
            </w:r>
            <w:r w:rsidRPr="00D2027A">
              <w:rPr>
                <w:rFonts w:asciiTheme="majorBidi" w:hAnsiTheme="majorBidi" w:cstheme="majorBidi"/>
                <w:bCs/>
                <w:szCs w:val="24"/>
                <w:lang w:val="es-ES"/>
              </w:rPr>
              <w:t xml:space="preserve"> </w:t>
            </w:r>
            <w:hyperlink r:id="rId262" w:history="1">
              <w:r w:rsidRPr="00D2027A">
                <w:rPr>
                  <w:rStyle w:val="Hyperlink"/>
                  <w:rFonts w:asciiTheme="majorBidi" w:hAnsiTheme="majorBidi" w:cstheme="majorBidi"/>
                  <w:bCs/>
                  <w:szCs w:val="24"/>
                  <w:lang w:val="es-ES"/>
                </w:rPr>
                <w:t>CMR19/509</w:t>
              </w:r>
            </w:hyperlink>
          </w:p>
        </w:tc>
        <w:tc>
          <w:tcPr>
            <w:tcW w:w="2312" w:type="pct"/>
          </w:tcPr>
          <w:p w14:paraId="2E8F7B3C" w14:textId="77777777" w:rsidR="00967792" w:rsidRPr="00A61288" w:rsidRDefault="00967792" w:rsidP="00B53355">
            <w:pPr>
              <w:spacing w:before="40" w:after="40"/>
              <w:rPr>
                <w:sz w:val="22"/>
                <w:lang w:val="es-ES"/>
              </w:rPr>
            </w:pPr>
            <w:r w:rsidRPr="00A61288">
              <w:rPr>
                <w:sz w:val="22"/>
                <w:lang w:val="es-ES"/>
              </w:rPr>
              <w:t>12.2</w:t>
            </w:r>
            <w:r w:rsidRPr="00A61288">
              <w:rPr>
                <w:sz w:val="22"/>
                <w:lang w:val="es-ES"/>
              </w:rPr>
              <w:tab/>
            </w:r>
            <w:bookmarkStart w:id="112" w:name="lt_pId480"/>
            <w:r w:rsidRPr="00A61288">
              <w:rPr>
                <w:sz w:val="22"/>
                <w:lang w:val="es-ES"/>
              </w:rPr>
              <w:t xml:space="preserve">El </w:t>
            </w:r>
            <w:r w:rsidRPr="00A61288">
              <w:rPr>
                <w:b/>
                <w:bCs/>
                <w:sz w:val="22"/>
                <w:lang w:val="es-ES"/>
              </w:rPr>
              <w:t>Presidente</w:t>
            </w:r>
            <w:r w:rsidRPr="00A61288">
              <w:rPr>
                <w:sz w:val="22"/>
                <w:lang w:val="es-ES"/>
              </w:rPr>
              <w:t xml:space="preserve"> invita a los participantes a examinar el Documento 509, cuya aprobación fue aplazada anteriormente en la reunión. Se propone que se apruebe el siguiente texto, contenido en dicho documento, y que se incluya en las actas de la Sesión Plenaria a modo de decisión de la Conferencia</w:t>
            </w:r>
            <w:bookmarkStart w:id="113" w:name="lt_pId481"/>
            <w:bookmarkEnd w:id="112"/>
            <w:r w:rsidRPr="00A61288">
              <w:rPr>
                <w:sz w:val="22"/>
                <w:lang w:val="es-ES"/>
              </w:rPr>
              <w:t>:</w:t>
            </w:r>
            <w:bookmarkEnd w:id="113"/>
          </w:p>
          <w:p w14:paraId="51778463" w14:textId="4491F046" w:rsidR="00967792" w:rsidRPr="00A61288" w:rsidRDefault="00967792" w:rsidP="00B53355">
            <w:pPr>
              <w:spacing w:before="40" w:after="40"/>
              <w:rPr>
                <w:b/>
                <w:sz w:val="22"/>
                <w:lang w:val="es-ES"/>
              </w:rPr>
            </w:pPr>
            <w:r w:rsidRPr="00A61288">
              <w:rPr>
                <w:b/>
                <w:sz w:val="22"/>
                <w:lang w:val="es-ES"/>
              </w:rPr>
              <w:t>«Instrucciones a la Oficina de Radiocomunicaciones al aplicar</w:t>
            </w:r>
            <w:r w:rsidR="0085397B">
              <w:rPr>
                <w:b/>
                <w:sz w:val="22"/>
                <w:lang w:val="es-ES"/>
              </w:rPr>
              <w:t xml:space="preserve"> </w:t>
            </w:r>
            <w:r w:rsidRPr="00A61288">
              <w:rPr>
                <w:b/>
                <w:sz w:val="22"/>
                <w:lang w:val="es-ES"/>
              </w:rPr>
              <w:t>la Resolución [A7(E)-AP30B] (CMR-19)</w:t>
            </w:r>
          </w:p>
          <w:p w14:paraId="711EB0C4" w14:textId="77777777" w:rsidR="00967792" w:rsidRPr="00A61288" w:rsidRDefault="00967792" w:rsidP="0085397B">
            <w:pPr>
              <w:spacing w:before="40" w:after="40"/>
              <w:ind w:left="794" w:hanging="794"/>
              <w:rPr>
                <w:b/>
                <w:sz w:val="22"/>
                <w:lang w:val="es-ES"/>
              </w:rPr>
            </w:pPr>
            <w:r w:rsidRPr="00A61288">
              <w:rPr>
                <w:b/>
                <w:sz w:val="22"/>
                <w:lang w:val="es-ES"/>
              </w:rPr>
              <w:t>1</w:t>
            </w:r>
            <w:r w:rsidRPr="00A61288">
              <w:rPr>
                <w:b/>
                <w:sz w:val="22"/>
                <w:lang w:val="es-ES"/>
              </w:rPr>
              <w:tab/>
              <w:t>Aplicación del § 2 del Adjunto a la Resolución [A7(E)-AP30B] (CMR</w:t>
            </w:r>
            <w:r w:rsidRPr="00A61288">
              <w:rPr>
                <w:b/>
                <w:sz w:val="22"/>
                <w:lang w:val="es-ES"/>
              </w:rPr>
              <w:noBreakHyphen/>
              <w:t>19) para la modificación en el marco del § 6.1 del Apéndice 30B de una comunicación previamente enviada a la Oficina en virtud del § 6.1 del Apéndice 30B</w:t>
            </w:r>
          </w:p>
          <w:p w14:paraId="41703122" w14:textId="77777777" w:rsidR="00967792" w:rsidRPr="00A61288" w:rsidRDefault="00967792" w:rsidP="00B53355">
            <w:pPr>
              <w:spacing w:before="40" w:after="40"/>
              <w:rPr>
                <w:sz w:val="22"/>
                <w:lang w:val="es-ES"/>
              </w:rPr>
            </w:pPr>
            <w:r w:rsidRPr="00A61288">
              <w:rPr>
                <w:sz w:val="22"/>
                <w:lang w:val="es-ES"/>
              </w:rPr>
              <w:t xml:space="preserve">Cuando, al aplicar el § 2 del Adjunto a la Resolución </w:t>
            </w:r>
            <w:r w:rsidRPr="00A61288">
              <w:rPr>
                <w:b/>
                <w:bCs/>
                <w:sz w:val="22"/>
                <w:lang w:val="es-ES"/>
              </w:rPr>
              <w:t>[A7(E)-AP30B] (CMR-19)</w:t>
            </w:r>
            <w:r w:rsidRPr="00A61288">
              <w:rPr>
                <w:sz w:val="22"/>
                <w:lang w:val="es-ES"/>
              </w:rPr>
              <w:t xml:space="preserve"> una administración pretenda modificar una comunicación previamente enviada a la Oficina en virtud del § 6.1 del Apéndice </w:t>
            </w:r>
            <w:r w:rsidRPr="00A61288">
              <w:rPr>
                <w:b/>
                <w:sz w:val="22"/>
                <w:lang w:val="es-ES"/>
              </w:rPr>
              <w:t xml:space="preserve">30B </w:t>
            </w:r>
            <w:r w:rsidRPr="00A61288">
              <w:rPr>
                <w:bCs/>
                <w:sz w:val="22"/>
                <w:lang w:val="es-ES"/>
              </w:rPr>
              <w:t>del RR</w:t>
            </w:r>
            <w:r w:rsidRPr="00A61288">
              <w:rPr>
                <w:sz w:val="22"/>
                <w:lang w:val="es-ES"/>
              </w:rPr>
              <w:t xml:space="preserve">, para volver a presentar esta comunicación en virtud del § 6.1 del Apéndice </w:t>
            </w:r>
            <w:r w:rsidRPr="00A61288">
              <w:rPr>
                <w:b/>
                <w:sz w:val="22"/>
                <w:lang w:val="es-ES"/>
              </w:rPr>
              <w:t>30B</w:t>
            </w:r>
            <w:r w:rsidRPr="00A61288">
              <w:rPr>
                <w:sz w:val="22"/>
                <w:lang w:val="es-ES"/>
              </w:rPr>
              <w:t xml:space="preserve"> del RR mediante el procedimiento especial descrito en el Adjunto a la Resolución </w:t>
            </w:r>
            <w:r w:rsidRPr="00A61288">
              <w:rPr>
                <w:b/>
                <w:bCs/>
                <w:sz w:val="22"/>
                <w:lang w:val="es-ES"/>
              </w:rPr>
              <w:t>[A7(E)-AP30B]</w:t>
            </w:r>
            <w:r w:rsidRPr="00A61288">
              <w:rPr>
                <w:sz w:val="22"/>
                <w:lang w:val="es-ES"/>
              </w:rPr>
              <w:t xml:space="preserve"> </w:t>
            </w:r>
            <w:r w:rsidRPr="00A61288">
              <w:rPr>
                <w:b/>
                <w:sz w:val="22"/>
                <w:lang w:val="es-ES"/>
              </w:rPr>
              <w:t>(CMR-19)</w:t>
            </w:r>
            <w:r w:rsidRPr="00A61288">
              <w:rPr>
                <w:sz w:val="22"/>
                <w:lang w:val="es-ES"/>
              </w:rPr>
              <w:t xml:space="preserve">, la Oficina comprobará si la elipse mínima presentada siguiendo este </w:t>
            </w:r>
            <w:r w:rsidRPr="00A61288">
              <w:rPr>
                <w:sz w:val="22"/>
                <w:lang w:val="es-ES"/>
              </w:rPr>
              <w:lastRenderedPageBreak/>
              <w:t xml:space="preserve">procedimiento se encuentra dentro de los márgenes de la comunicación inicial en virtud del § 6.1 del Apéndice </w:t>
            </w:r>
            <w:r w:rsidRPr="00A61288">
              <w:rPr>
                <w:b/>
                <w:sz w:val="22"/>
                <w:lang w:val="es-ES"/>
              </w:rPr>
              <w:t>30B</w:t>
            </w:r>
            <w:r w:rsidRPr="00A61288">
              <w:rPr>
                <w:bCs/>
                <w:sz w:val="22"/>
                <w:lang w:val="es-ES"/>
              </w:rPr>
              <w:t>.</w:t>
            </w:r>
            <w:r w:rsidRPr="00A61288">
              <w:rPr>
                <w:b/>
                <w:sz w:val="22"/>
                <w:lang w:val="es-ES"/>
              </w:rPr>
              <w:t xml:space="preserve"> </w:t>
            </w:r>
            <w:r w:rsidRPr="00A61288">
              <w:rPr>
                <w:bCs/>
                <w:sz w:val="22"/>
                <w:lang w:val="es-ES"/>
              </w:rPr>
              <w:t>En dicho caso, la Oficina</w:t>
            </w:r>
            <w:r w:rsidRPr="00A61288">
              <w:rPr>
                <w:sz w:val="22"/>
                <w:lang w:val="es-ES"/>
              </w:rPr>
              <w:t xml:space="preserve"> mantendrá la fecha de recepción inicial de la comunicación inicial con arreglo al § 6.1 del Apéndice </w:t>
            </w:r>
            <w:r w:rsidRPr="00A61288">
              <w:rPr>
                <w:b/>
                <w:sz w:val="22"/>
                <w:lang w:val="es-ES"/>
              </w:rPr>
              <w:t>30B</w:t>
            </w:r>
            <w:r w:rsidRPr="00A61288">
              <w:rPr>
                <w:bCs/>
                <w:sz w:val="22"/>
                <w:lang w:val="es-ES"/>
              </w:rPr>
              <w:t xml:space="preserve">, volverá a iniciar el examen de compatibilidad con la notificación existente y publicará una nueva Sección Especial. </w:t>
            </w:r>
            <w:r w:rsidRPr="00A61288">
              <w:rPr>
                <w:sz w:val="22"/>
                <w:lang w:val="es-ES"/>
              </w:rPr>
              <w:t>En otro caso, la Oficina comunicará una nueva fecha de recepción que será la fecha de recepción de la solicitud de aplicación de este procedimiento.</w:t>
            </w:r>
          </w:p>
          <w:p w14:paraId="0819CEC8" w14:textId="77777777" w:rsidR="00967792" w:rsidRPr="00A61288" w:rsidRDefault="00967792" w:rsidP="0085397B">
            <w:pPr>
              <w:spacing w:before="40" w:after="40"/>
              <w:ind w:left="794" w:hanging="794"/>
              <w:rPr>
                <w:b/>
                <w:sz w:val="22"/>
                <w:lang w:val="es-ES"/>
              </w:rPr>
            </w:pPr>
            <w:r w:rsidRPr="00A61288">
              <w:rPr>
                <w:b/>
                <w:sz w:val="22"/>
                <w:lang w:val="es-ES"/>
              </w:rPr>
              <w:t>2</w:t>
            </w:r>
            <w:r w:rsidRPr="00A61288">
              <w:rPr>
                <w:b/>
                <w:sz w:val="22"/>
                <w:lang w:val="es-ES"/>
              </w:rPr>
              <w:tab/>
              <w:t>Aplicación del § 2 del Adjunto a la Resolución [A7(E)-AP30B] (CMR</w:t>
            </w:r>
            <w:r w:rsidRPr="00A61288">
              <w:rPr>
                <w:b/>
                <w:sz w:val="22"/>
                <w:lang w:val="es-ES"/>
              </w:rPr>
              <w:noBreakHyphen/>
              <w:t>19) para la notificación directa con arreglo al § 6.17 del Apéndice 30B de una comunicación previamente enviada a la Oficina en virtud del § 6.1 del Apéndice 30B</w:t>
            </w:r>
          </w:p>
          <w:p w14:paraId="611E7192" w14:textId="77777777" w:rsidR="00967792" w:rsidRPr="00A61288" w:rsidRDefault="00967792" w:rsidP="00F65386">
            <w:pPr>
              <w:spacing w:before="40" w:after="40"/>
              <w:ind w:left="794" w:hanging="794"/>
              <w:rPr>
                <w:sz w:val="22"/>
                <w:lang w:val="es-ES"/>
              </w:rPr>
            </w:pPr>
            <w:r w:rsidRPr="00A61288">
              <w:rPr>
                <w:sz w:val="22"/>
                <w:lang w:val="es-ES"/>
              </w:rPr>
              <w:t>a)</w:t>
            </w:r>
            <w:r w:rsidRPr="00A61288">
              <w:rPr>
                <w:sz w:val="22"/>
                <w:lang w:val="es-ES"/>
              </w:rPr>
              <w:tab/>
              <w:t>Presentación de una elipse conforme al § 6.17 del Apéndice 30B</w:t>
            </w:r>
          </w:p>
          <w:p w14:paraId="67F7E09A" w14:textId="77777777" w:rsidR="00967792" w:rsidRPr="00A61288" w:rsidRDefault="00967792" w:rsidP="0085397B">
            <w:pPr>
              <w:spacing w:before="40" w:after="40"/>
              <w:ind w:left="794" w:hanging="794"/>
              <w:rPr>
                <w:sz w:val="22"/>
                <w:lang w:val="es-ES"/>
              </w:rPr>
            </w:pPr>
            <w:r w:rsidRPr="00A61288">
              <w:rPr>
                <w:sz w:val="22"/>
                <w:lang w:val="es-ES"/>
              </w:rPr>
              <w:tab/>
              <w:t xml:space="preserve">Cuando, al aplicar el § 2 del Adjunto a la Resolución </w:t>
            </w:r>
            <w:r w:rsidRPr="00A61288">
              <w:rPr>
                <w:b/>
                <w:bCs/>
                <w:sz w:val="22"/>
                <w:lang w:val="es-ES"/>
              </w:rPr>
              <w:t>[A7(E)-AP30B] (CMR-19)</w:t>
            </w:r>
            <w:r w:rsidRPr="00A61288">
              <w:rPr>
                <w:sz w:val="22"/>
                <w:lang w:val="es-ES"/>
              </w:rPr>
              <w:t xml:space="preserve"> una administración pretenda una notificación directa en virtud del § 6.17 del Apéndice </w:t>
            </w:r>
            <w:r w:rsidRPr="00A61288">
              <w:rPr>
                <w:b/>
                <w:sz w:val="22"/>
                <w:lang w:val="es-ES"/>
              </w:rPr>
              <w:t>30B</w:t>
            </w:r>
            <w:r w:rsidRPr="00A61288">
              <w:rPr>
                <w:sz w:val="22"/>
                <w:lang w:val="es-ES"/>
              </w:rPr>
              <w:t xml:space="preserve"> del RR aplicando el procedimiento especial descrito en el Adjunto a la Resolución </w:t>
            </w:r>
            <w:r w:rsidRPr="00A61288">
              <w:rPr>
                <w:b/>
                <w:bCs/>
                <w:sz w:val="22"/>
                <w:lang w:val="es-ES"/>
              </w:rPr>
              <w:t xml:space="preserve">[A7(E)-AP30B] </w:t>
            </w:r>
            <w:r w:rsidRPr="00A61288">
              <w:rPr>
                <w:b/>
                <w:sz w:val="22"/>
                <w:lang w:val="es-ES"/>
              </w:rPr>
              <w:t>(CMR-19)</w:t>
            </w:r>
            <w:r w:rsidRPr="00A61288">
              <w:rPr>
                <w:sz w:val="22"/>
                <w:lang w:val="es-ES"/>
              </w:rPr>
              <w:t xml:space="preserve"> a una comunicación previamente enviada a la Oficina en virtud del § 6.1 del Apéndice </w:t>
            </w:r>
            <w:r w:rsidRPr="00A61288">
              <w:rPr>
                <w:b/>
                <w:sz w:val="22"/>
                <w:lang w:val="es-ES"/>
              </w:rPr>
              <w:t>30B</w:t>
            </w:r>
            <w:r w:rsidRPr="00A61288">
              <w:rPr>
                <w:bCs/>
                <w:sz w:val="22"/>
                <w:lang w:val="es-ES"/>
              </w:rPr>
              <w:t>,</w:t>
            </w:r>
            <w:r w:rsidRPr="00A61288">
              <w:rPr>
                <w:sz w:val="22"/>
                <w:lang w:val="es-ES"/>
              </w:rPr>
              <w:t xml:space="preserve"> la Oficina comprobará si la elipse mínima presentada siguiendo este procedimiento se encuentra dentro de los márgenes de la comunicación inicial con arreglo al § 6.1 del Apéndice </w:t>
            </w:r>
            <w:r w:rsidRPr="00A61288">
              <w:rPr>
                <w:b/>
                <w:sz w:val="22"/>
                <w:lang w:val="es-ES"/>
              </w:rPr>
              <w:t>30B</w:t>
            </w:r>
            <w:r w:rsidRPr="00A61288">
              <w:rPr>
                <w:bCs/>
                <w:sz w:val="22"/>
                <w:lang w:val="es-ES"/>
              </w:rPr>
              <w:t>.</w:t>
            </w:r>
            <w:r w:rsidRPr="00A61288">
              <w:rPr>
                <w:b/>
                <w:sz w:val="22"/>
                <w:lang w:val="es-ES"/>
              </w:rPr>
              <w:t xml:space="preserve"> </w:t>
            </w:r>
            <w:r w:rsidRPr="00A61288">
              <w:rPr>
                <w:bCs/>
                <w:sz w:val="22"/>
                <w:lang w:val="es-ES"/>
              </w:rPr>
              <w:t>En dicho caso, la Oficina</w:t>
            </w:r>
            <w:r w:rsidRPr="00A61288">
              <w:rPr>
                <w:sz w:val="22"/>
                <w:lang w:val="es-ES"/>
              </w:rPr>
              <w:t xml:space="preserve"> mantendrá la fecha de recepción inicial de la comunicación inicial en virtud del § 6.1 del Apéndice </w:t>
            </w:r>
            <w:r w:rsidRPr="00A61288">
              <w:rPr>
                <w:b/>
                <w:sz w:val="22"/>
                <w:lang w:val="es-ES"/>
              </w:rPr>
              <w:t>30B</w:t>
            </w:r>
            <w:r w:rsidRPr="00A61288">
              <w:rPr>
                <w:sz w:val="22"/>
                <w:lang w:val="es-ES"/>
              </w:rPr>
              <w:t xml:space="preserve"> y llevará a cabo el examen con arreglo al § 6.17 del Apéndice </w:t>
            </w:r>
            <w:r w:rsidRPr="00A61288">
              <w:rPr>
                <w:b/>
                <w:sz w:val="22"/>
                <w:lang w:val="es-ES"/>
              </w:rPr>
              <w:t>30B</w:t>
            </w:r>
            <w:r w:rsidRPr="00A61288">
              <w:rPr>
                <w:sz w:val="22"/>
                <w:lang w:val="es-ES"/>
              </w:rPr>
              <w:t xml:space="preserve"> basándose en esta elipse mínima. En otro caso, la Oficina devolverá la notificación a la administración.</w:t>
            </w:r>
          </w:p>
          <w:p w14:paraId="2B7069BC" w14:textId="77777777" w:rsidR="00967792" w:rsidRPr="00A61288" w:rsidRDefault="00967792" w:rsidP="0085397B">
            <w:pPr>
              <w:spacing w:before="40" w:after="40"/>
              <w:ind w:left="794" w:hanging="794"/>
              <w:rPr>
                <w:sz w:val="22"/>
                <w:lang w:val="es-ES"/>
              </w:rPr>
            </w:pPr>
            <w:r w:rsidRPr="00A61288">
              <w:rPr>
                <w:sz w:val="22"/>
                <w:lang w:val="es-ES"/>
              </w:rPr>
              <w:t>b)</w:t>
            </w:r>
            <w:r w:rsidRPr="00A61288">
              <w:rPr>
                <w:sz w:val="22"/>
                <w:lang w:val="es-ES"/>
              </w:rPr>
              <w:tab/>
              <w:t>Presentación de un haz conformado en virtud del § 6.17 del Apéndice 30B</w:t>
            </w:r>
          </w:p>
          <w:p w14:paraId="12951975" w14:textId="1DEB4FE9" w:rsidR="00967792" w:rsidRPr="00A61288" w:rsidRDefault="00967792" w:rsidP="0085397B">
            <w:pPr>
              <w:spacing w:before="40" w:after="40"/>
              <w:ind w:left="794" w:hanging="794"/>
              <w:rPr>
                <w:sz w:val="22"/>
                <w:lang w:val="es-ES"/>
              </w:rPr>
            </w:pPr>
            <w:r w:rsidRPr="00A61288">
              <w:rPr>
                <w:sz w:val="22"/>
                <w:lang w:val="es-ES"/>
              </w:rPr>
              <w:tab/>
              <w:t>Cuando, al aplicar el § 2 del Adjunto a la Resolución</w:t>
            </w:r>
            <w:r w:rsidR="0085397B">
              <w:rPr>
                <w:sz w:val="22"/>
                <w:lang w:val="es-ES"/>
              </w:rPr>
              <w:t> </w:t>
            </w:r>
            <w:r w:rsidRPr="00A61288">
              <w:rPr>
                <w:b/>
                <w:bCs/>
                <w:sz w:val="22"/>
                <w:lang w:val="es-ES"/>
              </w:rPr>
              <w:t>[A7(E)</w:t>
            </w:r>
            <w:r w:rsidR="0085397B">
              <w:rPr>
                <w:b/>
                <w:bCs/>
                <w:sz w:val="22"/>
                <w:lang w:val="es-ES"/>
              </w:rPr>
              <w:noBreakHyphen/>
            </w:r>
            <w:r w:rsidRPr="00A61288">
              <w:rPr>
                <w:b/>
                <w:bCs/>
                <w:sz w:val="22"/>
                <w:lang w:val="es-ES"/>
              </w:rPr>
              <w:t>AP30B] (CMR</w:t>
            </w:r>
            <w:r w:rsidRPr="00A61288">
              <w:rPr>
                <w:b/>
                <w:bCs/>
                <w:sz w:val="22"/>
                <w:lang w:val="es-ES"/>
              </w:rPr>
              <w:noBreakHyphen/>
              <w:t>19)</w:t>
            </w:r>
            <w:r w:rsidRPr="00A61288">
              <w:rPr>
                <w:sz w:val="22"/>
                <w:lang w:val="es-ES"/>
              </w:rPr>
              <w:t xml:space="preserve"> una administración </w:t>
            </w:r>
            <w:r w:rsidRPr="00A61288">
              <w:rPr>
                <w:sz w:val="22"/>
                <w:lang w:val="es-ES"/>
              </w:rPr>
              <w:lastRenderedPageBreak/>
              <w:t xml:space="preserve">pretenda una notificación directa en virtud del § 6.17 del Apéndice </w:t>
            </w:r>
            <w:r w:rsidRPr="00A61288">
              <w:rPr>
                <w:b/>
                <w:sz w:val="22"/>
                <w:lang w:val="es-ES"/>
              </w:rPr>
              <w:t>30B</w:t>
            </w:r>
            <w:r w:rsidRPr="00A61288">
              <w:rPr>
                <w:sz w:val="22"/>
                <w:lang w:val="es-ES"/>
              </w:rPr>
              <w:t xml:space="preserve"> del RR aplicando el procedimiento especial descrito en el Adjunto a la Resolución </w:t>
            </w:r>
            <w:r w:rsidRPr="00A61288">
              <w:rPr>
                <w:b/>
                <w:bCs/>
                <w:sz w:val="22"/>
                <w:lang w:val="es-ES"/>
              </w:rPr>
              <w:t xml:space="preserve">[A7(E)-AP30B] </w:t>
            </w:r>
            <w:r w:rsidRPr="00A61288">
              <w:rPr>
                <w:b/>
                <w:sz w:val="22"/>
                <w:lang w:val="es-ES"/>
              </w:rPr>
              <w:t>(CMR</w:t>
            </w:r>
            <w:r w:rsidR="0085397B">
              <w:rPr>
                <w:b/>
                <w:sz w:val="22"/>
                <w:lang w:val="es-ES"/>
              </w:rPr>
              <w:noBreakHyphen/>
            </w:r>
            <w:r w:rsidRPr="00A61288">
              <w:rPr>
                <w:b/>
                <w:sz w:val="22"/>
                <w:lang w:val="es-ES"/>
              </w:rPr>
              <w:t>19)</w:t>
            </w:r>
            <w:r w:rsidRPr="00A61288">
              <w:rPr>
                <w:sz w:val="22"/>
                <w:lang w:val="es-ES"/>
              </w:rPr>
              <w:t xml:space="preserve"> a una comunicación previamente enviada a la Oficina en virtud del § 6.1 del Apéndice </w:t>
            </w:r>
            <w:r w:rsidRPr="00A61288">
              <w:rPr>
                <w:b/>
                <w:sz w:val="22"/>
                <w:lang w:val="es-ES"/>
              </w:rPr>
              <w:t>30B</w:t>
            </w:r>
            <w:r w:rsidRPr="00A61288">
              <w:rPr>
                <w:bCs/>
                <w:sz w:val="22"/>
                <w:lang w:val="es-ES"/>
              </w:rPr>
              <w:t>,</w:t>
            </w:r>
            <w:r w:rsidRPr="00A61288">
              <w:rPr>
                <w:sz w:val="22"/>
                <w:lang w:val="es-ES"/>
              </w:rPr>
              <w:t xml:space="preserve"> la Oficina comprobará si el haz conformado presentado siguiendo este procedimiento se encuentra dentro de los márgenes de la elipse mínima generada por la Oficina, teniendo en cuenta los puntos de prueba correspondientes, y dentro de los márgenes de la comunicación inicial con arreglo al § 6.1 del Apéndice </w:t>
            </w:r>
            <w:r w:rsidRPr="00A61288">
              <w:rPr>
                <w:b/>
                <w:sz w:val="22"/>
                <w:lang w:val="es-ES"/>
              </w:rPr>
              <w:t>30B</w:t>
            </w:r>
            <w:r w:rsidRPr="00A61288">
              <w:rPr>
                <w:bCs/>
                <w:sz w:val="22"/>
                <w:lang w:val="es-ES"/>
              </w:rPr>
              <w:t>.</w:t>
            </w:r>
            <w:r w:rsidRPr="00A61288">
              <w:rPr>
                <w:b/>
                <w:sz w:val="22"/>
                <w:lang w:val="es-ES"/>
              </w:rPr>
              <w:t xml:space="preserve"> </w:t>
            </w:r>
            <w:r w:rsidRPr="00A61288">
              <w:rPr>
                <w:bCs/>
                <w:sz w:val="22"/>
                <w:lang w:val="es-ES"/>
              </w:rPr>
              <w:t>En dicho caso, la Oficina</w:t>
            </w:r>
            <w:r w:rsidRPr="00A61288">
              <w:rPr>
                <w:sz w:val="22"/>
                <w:lang w:val="es-ES"/>
              </w:rPr>
              <w:t xml:space="preserve"> mantendrá la fecha de recepción inicial de la comunicación inicial en virtud del § 6.1 del Apéndice </w:t>
            </w:r>
            <w:r w:rsidRPr="00A61288">
              <w:rPr>
                <w:b/>
                <w:sz w:val="22"/>
                <w:lang w:val="es-ES"/>
              </w:rPr>
              <w:t>30B</w:t>
            </w:r>
            <w:r w:rsidRPr="00A61288">
              <w:rPr>
                <w:sz w:val="22"/>
                <w:lang w:val="es-ES"/>
              </w:rPr>
              <w:t xml:space="preserve"> y llevará a cabo el examen con arreglo al § 6.17 del Apéndice </w:t>
            </w:r>
            <w:r w:rsidRPr="00A61288">
              <w:rPr>
                <w:b/>
                <w:sz w:val="22"/>
                <w:lang w:val="es-ES"/>
              </w:rPr>
              <w:t>30B</w:t>
            </w:r>
            <w:r w:rsidRPr="00A61288">
              <w:rPr>
                <w:sz w:val="22"/>
                <w:lang w:val="es-ES"/>
              </w:rPr>
              <w:t xml:space="preserve"> basándose en esta elipse mínima. En otro caso, la Oficina devolverá la notificación a la administración.</w:t>
            </w:r>
          </w:p>
          <w:p w14:paraId="7CFE4DE7" w14:textId="77777777" w:rsidR="00967792" w:rsidRPr="00A61288" w:rsidRDefault="00967792" w:rsidP="0085397B">
            <w:pPr>
              <w:spacing w:before="40" w:after="40"/>
              <w:ind w:left="794" w:hanging="794"/>
              <w:rPr>
                <w:b/>
                <w:sz w:val="22"/>
                <w:lang w:val="es-ES"/>
              </w:rPr>
            </w:pPr>
            <w:r w:rsidRPr="00A61288">
              <w:rPr>
                <w:b/>
                <w:sz w:val="22"/>
                <w:lang w:val="es-ES"/>
              </w:rPr>
              <w:t>3</w:t>
            </w:r>
            <w:r w:rsidRPr="00A61288">
              <w:rPr>
                <w:b/>
                <w:sz w:val="22"/>
                <w:lang w:val="es-ES"/>
              </w:rPr>
              <w:tab/>
              <w:t>Haz creado cuando una administración que actúa en nombre de un grupo de administraciones designadas presenta un sistema adicional</w:t>
            </w:r>
          </w:p>
          <w:p w14:paraId="42FFA428" w14:textId="77777777" w:rsidR="00967792" w:rsidRPr="00A61288" w:rsidRDefault="00967792" w:rsidP="00B53355">
            <w:pPr>
              <w:spacing w:before="40" w:after="40"/>
              <w:rPr>
                <w:sz w:val="22"/>
                <w:lang w:val="es-ES"/>
              </w:rPr>
            </w:pPr>
            <w:r w:rsidRPr="00A61288">
              <w:rPr>
                <w:sz w:val="22"/>
                <w:lang w:val="es-ES"/>
              </w:rPr>
              <w:t>En el caso de la presentación de un sistema adicional por una administración que actúa en nombre de un grupo de administraciones designadas, el haz de la presentación está formado por la combinación de todas las elipses mínimas individuales asociadas a cada una de las administraciones del grupo:</w:t>
            </w:r>
          </w:p>
          <w:p w14:paraId="64497B81" w14:textId="77777777" w:rsidR="00967792" w:rsidRPr="00A61288" w:rsidRDefault="00967792" w:rsidP="0085397B">
            <w:pPr>
              <w:spacing w:before="40" w:after="40"/>
              <w:ind w:left="794" w:hanging="794"/>
              <w:rPr>
                <w:sz w:val="22"/>
                <w:lang w:val="es-ES"/>
              </w:rPr>
            </w:pPr>
            <w:r w:rsidRPr="00A61288">
              <w:rPr>
                <w:sz w:val="22"/>
                <w:lang w:val="es-ES"/>
              </w:rPr>
              <w:t>–</w:t>
            </w:r>
            <w:r w:rsidRPr="00A61288">
              <w:rPr>
                <w:sz w:val="22"/>
                <w:lang w:val="es-ES"/>
              </w:rPr>
              <w:tab/>
              <w:t>Si todas las elipses mínimas individuales se superponen entre sí, el haz sólo contiene la zona de cobertura formada por el contorno de la combinación de todas las elipses mínimas individuales.</w:t>
            </w:r>
          </w:p>
          <w:p w14:paraId="7213F00F" w14:textId="77777777" w:rsidR="00967792" w:rsidRPr="00A61288" w:rsidRDefault="00967792" w:rsidP="0085397B">
            <w:pPr>
              <w:spacing w:before="40" w:after="40"/>
              <w:ind w:left="794" w:hanging="794"/>
              <w:rPr>
                <w:sz w:val="22"/>
                <w:lang w:val="es-ES"/>
              </w:rPr>
            </w:pPr>
            <w:r w:rsidRPr="00A61288">
              <w:rPr>
                <w:sz w:val="22"/>
                <w:lang w:val="es-ES"/>
              </w:rPr>
              <w:t>–</w:t>
            </w:r>
            <w:r w:rsidRPr="00A61288">
              <w:rPr>
                <w:sz w:val="22"/>
                <w:lang w:val="es-ES"/>
              </w:rPr>
              <w:tab/>
              <w:t>Si no todas las elipses mínimas individuales se superponen entre sí, el haz consta de múltiples haces puntuales derivados de las elipses que no se superponen y cada haz puntual está formado por el contorno formado por la combinación de las elipses mínimas individuales que se superponen entre sí.</w:t>
            </w:r>
          </w:p>
          <w:p w14:paraId="01ED5462" w14:textId="6FDCDCAA" w:rsidR="00967792" w:rsidRPr="00A61288" w:rsidRDefault="00967792" w:rsidP="0085397B">
            <w:pPr>
              <w:spacing w:before="40" w:after="40"/>
              <w:ind w:left="794" w:hanging="794"/>
              <w:rPr>
                <w:b/>
                <w:sz w:val="22"/>
                <w:lang w:val="es-ES"/>
              </w:rPr>
            </w:pPr>
            <w:r w:rsidRPr="00A61288">
              <w:rPr>
                <w:b/>
                <w:sz w:val="22"/>
                <w:lang w:val="es-ES"/>
              </w:rPr>
              <w:lastRenderedPageBreak/>
              <w:t>4</w:t>
            </w:r>
            <w:r w:rsidRPr="00A61288">
              <w:rPr>
                <w:b/>
                <w:sz w:val="22"/>
                <w:lang w:val="es-ES"/>
              </w:rPr>
              <w:tab/>
              <w:t>Aplicación del § 12 del Adjunto a la Resolución</w:t>
            </w:r>
            <w:r w:rsidR="0085397B">
              <w:rPr>
                <w:b/>
                <w:sz w:val="22"/>
                <w:lang w:val="es-ES"/>
              </w:rPr>
              <w:t> </w:t>
            </w:r>
            <w:r w:rsidRPr="00A61288">
              <w:rPr>
                <w:b/>
                <w:sz w:val="22"/>
                <w:lang w:val="es-ES"/>
              </w:rPr>
              <w:t>[A7(E)</w:t>
            </w:r>
            <w:r w:rsidR="0085397B">
              <w:rPr>
                <w:b/>
                <w:sz w:val="22"/>
                <w:lang w:val="es-ES"/>
              </w:rPr>
              <w:noBreakHyphen/>
            </w:r>
            <w:r w:rsidRPr="00A61288">
              <w:rPr>
                <w:b/>
                <w:sz w:val="22"/>
                <w:lang w:val="es-ES"/>
              </w:rPr>
              <w:t>AP30B] (CMR</w:t>
            </w:r>
            <w:r w:rsidRPr="00A61288">
              <w:rPr>
                <w:b/>
                <w:sz w:val="22"/>
                <w:lang w:val="es-ES"/>
              </w:rPr>
              <w:noBreakHyphen/>
              <w:t>19) cuando no existe colaboración por parte de la administración notificante de la red existente</w:t>
            </w:r>
          </w:p>
          <w:p w14:paraId="08CADA7E" w14:textId="7290556F" w:rsidR="00967792" w:rsidRPr="00A61288" w:rsidRDefault="00967792" w:rsidP="00B53355">
            <w:pPr>
              <w:spacing w:before="40" w:after="40"/>
              <w:rPr>
                <w:sz w:val="22"/>
                <w:lang w:val="es-ES"/>
              </w:rPr>
            </w:pPr>
            <w:r w:rsidRPr="00A61288">
              <w:rPr>
                <w:sz w:val="22"/>
                <w:lang w:val="es-ES"/>
              </w:rPr>
              <w:t>Cuando, en aplicación del § 12 del Adjunto a la Resolución</w:t>
            </w:r>
            <w:r w:rsidR="0085397B">
              <w:rPr>
                <w:sz w:val="22"/>
                <w:lang w:val="es-ES"/>
              </w:rPr>
              <w:t> </w:t>
            </w:r>
            <w:r w:rsidRPr="00A61288">
              <w:rPr>
                <w:b/>
                <w:bCs/>
                <w:sz w:val="22"/>
                <w:lang w:val="es-ES"/>
              </w:rPr>
              <w:t>[A7(E)</w:t>
            </w:r>
            <w:r w:rsidR="0085397B">
              <w:rPr>
                <w:b/>
                <w:bCs/>
                <w:sz w:val="22"/>
                <w:lang w:val="es-ES"/>
              </w:rPr>
              <w:noBreakHyphen/>
            </w:r>
            <w:r w:rsidRPr="00A61288">
              <w:rPr>
                <w:b/>
                <w:bCs/>
                <w:sz w:val="22"/>
                <w:lang w:val="es-ES"/>
              </w:rPr>
              <w:t>AP30B] (CMR</w:t>
            </w:r>
            <w:r w:rsidRPr="00A61288">
              <w:rPr>
                <w:b/>
                <w:bCs/>
                <w:sz w:val="22"/>
                <w:lang w:val="es-ES"/>
              </w:rPr>
              <w:noBreakHyphen/>
              <w:t>19)</w:t>
            </w:r>
            <w:r w:rsidRPr="00A61288">
              <w:rPr>
                <w:sz w:val="22"/>
                <w:lang w:val="es-ES"/>
              </w:rPr>
              <w:t>, la Oficina no reciba la confirmación por parte de la administración notificante de la red entrante de que la colaboración entre las dos administraciones se ha iniciado adecuadamente, la administración notificante podrá solicitar la ayuda de la Oficina. La Oficina enviará inmediatamente un telefax a la administración notificante de la red existente solicitándole la entrega, en un plazo de 30 días, de las condiciones para que los responsables de la operación verifiquen la interferencia perjudicial y la propuesta de fecha de aplicación de esas condiciones, en un plazo máximo de cuatro meses, para la aplicación del §</w:t>
            </w:r>
            <w:r w:rsidR="0085397B">
              <w:rPr>
                <w:sz w:val="22"/>
                <w:lang w:val="es-ES"/>
              </w:rPr>
              <w:t> </w:t>
            </w:r>
            <w:r w:rsidRPr="00A61288">
              <w:rPr>
                <w:sz w:val="22"/>
                <w:lang w:val="es-ES"/>
              </w:rPr>
              <w:t>12 de la Resolución [</w:t>
            </w:r>
            <w:r w:rsidRPr="00A61288">
              <w:rPr>
                <w:b/>
                <w:bCs/>
                <w:sz w:val="22"/>
                <w:lang w:val="es-ES"/>
              </w:rPr>
              <w:t>A7(E)-AP30B</w:t>
            </w:r>
            <w:r w:rsidRPr="00A61288">
              <w:rPr>
                <w:sz w:val="22"/>
                <w:lang w:val="es-ES"/>
              </w:rPr>
              <w:t>]. En caso de no recibir dicha información, la Oficina enviará inmediatamente un recordatorio concediendo 15 días adicionales para la respuesta. De no recibirse el acuse de recibo en esos 15 días, se considerará que la administración notificante de la red existente, que no ha iniciado la colaboración, entiende que no se formulará queja alguna con respecto a las interferencias perjudiciales que afecten a sus propias asignaciones y que pudieran ser causadas por la asignación de la administración notificante de la red entrante para la que solicitó la coordinación».</w:t>
            </w:r>
          </w:p>
          <w:p w14:paraId="692CD1AA" w14:textId="77777777" w:rsidR="00967792" w:rsidRPr="00A61288" w:rsidRDefault="00967792" w:rsidP="00B53355">
            <w:pPr>
              <w:spacing w:before="40" w:after="40"/>
              <w:rPr>
                <w:sz w:val="22"/>
                <w:lang w:val="es-ES"/>
              </w:rPr>
            </w:pPr>
            <w:r w:rsidRPr="00A61288">
              <w:rPr>
                <w:sz w:val="22"/>
                <w:lang w:val="es-ES"/>
              </w:rPr>
              <w:t>12.3</w:t>
            </w:r>
            <w:r w:rsidRPr="00A61288">
              <w:rPr>
                <w:sz w:val="22"/>
                <w:lang w:val="es-ES"/>
              </w:rPr>
              <w:tab/>
            </w:r>
            <w:bookmarkStart w:id="114" w:name="lt_pId515"/>
            <w:r w:rsidRPr="00A61288">
              <w:rPr>
                <w:sz w:val="22"/>
                <w:lang w:val="es-ES"/>
              </w:rPr>
              <w:t xml:space="preserve">Así se </w:t>
            </w:r>
            <w:r w:rsidRPr="00A61288">
              <w:rPr>
                <w:b/>
                <w:bCs/>
                <w:sz w:val="22"/>
                <w:lang w:val="es-ES"/>
              </w:rPr>
              <w:t>acuerda</w:t>
            </w:r>
            <w:r w:rsidRPr="00A61288">
              <w:rPr>
                <w:sz w:val="22"/>
                <w:lang w:val="es-ES"/>
              </w:rPr>
              <w:t>.</w:t>
            </w:r>
            <w:bookmarkEnd w:id="114"/>
          </w:p>
          <w:p w14:paraId="4DD4EC4C" w14:textId="3E437C3F" w:rsidR="00967792" w:rsidRPr="00A61288" w:rsidRDefault="00967792" w:rsidP="00B53355">
            <w:pPr>
              <w:spacing w:before="40" w:after="40"/>
              <w:rPr>
                <w:sz w:val="22"/>
                <w:lang w:val="es-ES"/>
              </w:rPr>
            </w:pPr>
            <w:r w:rsidRPr="00A61288">
              <w:rPr>
                <w:sz w:val="22"/>
                <w:lang w:val="es-ES"/>
              </w:rPr>
              <w:t>12.4</w:t>
            </w:r>
            <w:r w:rsidRPr="00A61288">
              <w:rPr>
                <w:sz w:val="22"/>
                <w:lang w:val="es-ES"/>
              </w:rPr>
              <w:tab/>
            </w:r>
            <w:bookmarkStart w:id="115" w:name="lt_pId517"/>
            <w:r w:rsidRPr="00A61288">
              <w:rPr>
                <w:sz w:val="22"/>
                <w:lang w:val="es-ES"/>
              </w:rPr>
              <w:t xml:space="preserve">Se </w:t>
            </w:r>
            <w:r w:rsidRPr="00A61288">
              <w:rPr>
                <w:b/>
                <w:bCs/>
                <w:sz w:val="22"/>
                <w:lang w:val="es-ES"/>
              </w:rPr>
              <w:t>aprueba</w:t>
            </w:r>
            <w:r w:rsidRPr="00A61288">
              <w:rPr>
                <w:sz w:val="22"/>
                <w:lang w:val="es-ES"/>
              </w:rPr>
              <w:t xml:space="preserve"> el Documento 509.</w:t>
            </w:r>
            <w:bookmarkEnd w:id="115"/>
          </w:p>
        </w:tc>
        <w:tc>
          <w:tcPr>
            <w:tcW w:w="1548" w:type="pct"/>
          </w:tcPr>
          <w:p w14:paraId="6CEDD342" w14:textId="6FA79BDB" w:rsidR="00967792" w:rsidRPr="00D2027A" w:rsidDel="009440F5" w:rsidRDefault="00967792" w:rsidP="00B53355">
            <w:pPr>
              <w:pStyle w:val="Tabletext"/>
              <w:rPr>
                <w:rFonts w:asciiTheme="majorBidi" w:hAnsiTheme="majorBidi" w:cstheme="majorBidi"/>
                <w:szCs w:val="24"/>
                <w:lang w:val="es-ES"/>
              </w:rPr>
            </w:pPr>
            <w:r>
              <w:rPr>
                <w:rFonts w:asciiTheme="majorBidi" w:hAnsiTheme="majorBidi" w:cstheme="majorBidi"/>
                <w:bCs/>
                <w:lang w:val="es-ES"/>
              </w:rPr>
              <w:lastRenderedPageBreak/>
              <w:t xml:space="preserve">La </w:t>
            </w:r>
            <w:r w:rsidRPr="00A616CA">
              <w:rPr>
                <w:lang w:val="es-ES"/>
              </w:rPr>
              <w:t>Junta</w:t>
            </w:r>
            <w:r>
              <w:rPr>
                <w:rFonts w:asciiTheme="majorBidi" w:hAnsiTheme="majorBidi" w:cstheme="majorBidi"/>
                <w:bCs/>
                <w:lang w:val="es-ES"/>
              </w:rPr>
              <w:t xml:space="preserve"> decide </w:t>
            </w:r>
            <w:r w:rsidRPr="00913415">
              <w:rPr>
                <w:rFonts w:asciiTheme="majorBidi" w:hAnsiTheme="majorBidi" w:cstheme="majorBidi"/>
                <w:bCs/>
                <w:lang w:val="es-ES"/>
              </w:rPr>
              <w:t>incluir la decisión como nota en la Regla de Procedimiento correspondiente a</w:t>
            </w:r>
            <w:r>
              <w:rPr>
                <w:rFonts w:asciiTheme="majorBidi" w:hAnsiTheme="majorBidi" w:cstheme="majorBidi"/>
                <w:bCs/>
                <w:lang w:val="es-ES"/>
              </w:rPr>
              <w:t xml:space="preserve"> la Resolución 170 </w:t>
            </w:r>
            <w:r w:rsidRPr="00913415">
              <w:rPr>
                <w:rFonts w:asciiTheme="majorBidi" w:hAnsiTheme="majorBidi" w:cstheme="majorBidi"/>
                <w:bCs/>
                <w:lang w:val="es-ES"/>
              </w:rPr>
              <w:t xml:space="preserve">del RR </w:t>
            </w:r>
            <w:r w:rsidRPr="000C1114">
              <w:rPr>
                <w:rFonts w:asciiTheme="majorBidi" w:hAnsiTheme="majorBidi" w:cstheme="majorBidi"/>
                <w:b/>
                <w:lang w:val="es-ES"/>
              </w:rPr>
              <w:t>(CMR-19</w:t>
            </w:r>
            <w:r>
              <w:rPr>
                <w:rFonts w:asciiTheme="majorBidi" w:hAnsiTheme="majorBidi" w:cstheme="majorBidi"/>
                <w:bCs/>
                <w:lang w:val="es-ES"/>
              </w:rPr>
              <w:t xml:space="preserve">) </w:t>
            </w:r>
            <w:r w:rsidRPr="00913415">
              <w:rPr>
                <w:rFonts w:asciiTheme="majorBidi" w:hAnsiTheme="majorBidi" w:cstheme="majorBidi"/>
                <w:bCs/>
                <w:lang w:val="es-ES"/>
              </w:rPr>
              <w:t>en su 85ª</w:t>
            </w:r>
            <w:r w:rsidR="00A61288">
              <w:rPr>
                <w:rFonts w:asciiTheme="majorBidi" w:hAnsiTheme="majorBidi" w:cstheme="majorBidi"/>
                <w:bCs/>
                <w:lang w:val="es-ES"/>
              </w:rPr>
              <w:t> </w:t>
            </w:r>
            <w:r w:rsidRPr="00913415">
              <w:rPr>
                <w:rFonts w:asciiTheme="majorBidi" w:hAnsiTheme="majorBidi" w:cstheme="majorBidi"/>
                <w:bCs/>
                <w:lang w:val="es-ES"/>
              </w:rPr>
              <w:t xml:space="preserve">reunión </w:t>
            </w:r>
            <w:r w:rsidRPr="00D2027A">
              <w:rPr>
                <w:rFonts w:asciiTheme="majorBidi" w:hAnsiTheme="majorBidi" w:cstheme="majorBidi"/>
                <w:bCs/>
                <w:lang w:val="es-ES"/>
              </w:rPr>
              <w:t>(</w:t>
            </w:r>
            <w:hyperlink r:id="rId263" w:history="1">
              <w:r w:rsidRPr="00D2027A">
                <w:rPr>
                  <w:rStyle w:val="Hyperlink"/>
                  <w:rFonts w:asciiTheme="majorBidi" w:hAnsiTheme="majorBidi" w:cstheme="majorBidi"/>
                  <w:bCs/>
                  <w:lang w:val="es-ES"/>
                </w:rPr>
                <w:t>CR/471</w:t>
              </w:r>
            </w:hyperlink>
            <w:r w:rsidRPr="00D2027A">
              <w:rPr>
                <w:rFonts w:asciiTheme="majorBidi" w:hAnsiTheme="majorBidi" w:cstheme="majorBidi"/>
                <w:bCs/>
                <w:lang w:val="es-ES"/>
              </w:rPr>
              <w:t>).</w:t>
            </w:r>
          </w:p>
        </w:tc>
      </w:tr>
      <w:tr w:rsidR="00967792" w:rsidRPr="00D2027A" w14:paraId="6F5898C1" w14:textId="77777777" w:rsidTr="00924C8B">
        <w:trPr>
          <w:jc w:val="center"/>
        </w:trPr>
        <w:tc>
          <w:tcPr>
            <w:tcW w:w="183" w:type="pct"/>
          </w:tcPr>
          <w:p w14:paraId="1B50E306" w14:textId="35933BEE" w:rsidR="00967792" w:rsidRPr="00A616CA" w:rsidRDefault="00967792" w:rsidP="00B53355">
            <w:pPr>
              <w:pStyle w:val="Tabletext"/>
              <w:rPr>
                <w:lang w:val="es-ES"/>
              </w:rPr>
            </w:pPr>
            <w:r w:rsidRPr="00A616CA">
              <w:rPr>
                <w:lang w:val="es-ES"/>
              </w:rPr>
              <w:lastRenderedPageBreak/>
              <w:t>81</w:t>
            </w:r>
          </w:p>
        </w:tc>
        <w:tc>
          <w:tcPr>
            <w:tcW w:w="434" w:type="pct"/>
          </w:tcPr>
          <w:p w14:paraId="092216CE" w14:textId="038D3779" w:rsidR="00967792" w:rsidRPr="00A616CA" w:rsidRDefault="00967792" w:rsidP="00B53355">
            <w:pPr>
              <w:pStyle w:val="Tabletext"/>
              <w:rPr>
                <w:lang w:val="es-ES"/>
              </w:rPr>
            </w:pPr>
            <w:r w:rsidRPr="00A616CA">
              <w:rPr>
                <w:lang w:val="es-ES"/>
              </w:rPr>
              <w:t>CMR-19</w:t>
            </w:r>
          </w:p>
        </w:tc>
        <w:tc>
          <w:tcPr>
            <w:tcW w:w="523" w:type="pct"/>
          </w:tcPr>
          <w:p w14:paraId="26AE6E03" w14:textId="68FA4E4F" w:rsidR="00967792" w:rsidRPr="00D2027A" w:rsidRDefault="00967792" w:rsidP="00A61288">
            <w:pPr>
              <w:pStyle w:val="Tabletext"/>
              <w:rPr>
                <w:rFonts w:asciiTheme="majorBidi" w:hAnsiTheme="majorBidi" w:cstheme="majorBidi"/>
                <w:bCs/>
                <w:szCs w:val="24"/>
                <w:lang w:val="es-ES"/>
              </w:rPr>
            </w:pPr>
            <w:r w:rsidRPr="00A61288">
              <w:rPr>
                <w:lang w:val="es-ES"/>
              </w:rPr>
              <w:t>10ª</w:t>
            </w:r>
            <w:r>
              <w:rPr>
                <w:rFonts w:asciiTheme="majorBidi" w:hAnsiTheme="majorBidi" w:cstheme="majorBidi"/>
                <w:bCs/>
                <w:szCs w:val="24"/>
                <w:lang w:val="es-ES"/>
              </w:rPr>
              <w:t xml:space="preserve"> </w:t>
            </w:r>
            <w:r w:rsidR="006D6884">
              <w:rPr>
                <w:rFonts w:asciiTheme="majorBidi" w:hAnsiTheme="majorBidi" w:cstheme="majorBidi"/>
                <w:bCs/>
                <w:szCs w:val="24"/>
                <w:lang w:val="es-ES"/>
              </w:rPr>
              <w:t>Plenaria</w:t>
            </w:r>
            <w:r w:rsidR="0025704A">
              <w:rPr>
                <w:rFonts w:asciiTheme="majorBidi" w:hAnsiTheme="majorBidi" w:cstheme="majorBidi"/>
                <w:bCs/>
                <w:szCs w:val="24"/>
                <w:lang w:val="es-ES"/>
              </w:rPr>
              <w:br/>
            </w:r>
            <w:r w:rsidRPr="00D2027A">
              <w:rPr>
                <w:rFonts w:asciiTheme="majorBidi" w:hAnsiTheme="majorBidi" w:cstheme="majorBidi"/>
                <w:bCs/>
                <w:szCs w:val="24"/>
                <w:lang w:val="es-ES"/>
              </w:rPr>
              <w:t xml:space="preserve">Doc. </w:t>
            </w:r>
            <w:hyperlink r:id="rId264" w:history="1">
              <w:r w:rsidRPr="00D2027A">
                <w:rPr>
                  <w:rStyle w:val="Hyperlink"/>
                  <w:rFonts w:asciiTheme="majorBidi" w:hAnsiTheme="majorBidi" w:cstheme="majorBidi"/>
                  <w:bCs/>
                  <w:szCs w:val="24"/>
                  <w:lang w:val="es-ES"/>
                </w:rPr>
                <w:t>CMR19/571</w:t>
              </w:r>
            </w:hyperlink>
            <w:r w:rsidRPr="00D2027A">
              <w:rPr>
                <w:rFonts w:asciiTheme="majorBidi" w:hAnsiTheme="majorBidi" w:cstheme="majorBidi"/>
                <w:bCs/>
                <w:szCs w:val="24"/>
                <w:lang w:val="es-ES"/>
              </w:rPr>
              <w:t xml:space="preserve"> </w:t>
            </w:r>
          </w:p>
          <w:p w14:paraId="7BD18418" w14:textId="12B32AA8" w:rsidR="00967792" w:rsidRPr="00D2027A" w:rsidRDefault="00967792" w:rsidP="00A61288">
            <w:pPr>
              <w:pStyle w:val="Tabletext"/>
              <w:rPr>
                <w:rFonts w:asciiTheme="majorBidi" w:hAnsiTheme="majorBidi" w:cstheme="majorBidi"/>
                <w:bCs/>
                <w:szCs w:val="24"/>
                <w:lang w:val="es-ES"/>
              </w:rPr>
            </w:pPr>
            <w:r w:rsidRPr="00A61288">
              <w:rPr>
                <w:lang w:val="es-ES"/>
              </w:rPr>
              <w:t>Aprobación</w:t>
            </w:r>
            <w:r>
              <w:rPr>
                <w:rFonts w:asciiTheme="majorBidi" w:hAnsiTheme="majorBidi" w:cstheme="majorBidi"/>
                <w:bCs/>
                <w:szCs w:val="24"/>
                <w:lang w:val="es-ES"/>
              </w:rPr>
              <w:t xml:space="preserve"> del Documento</w:t>
            </w:r>
            <w:r w:rsidRPr="00D2027A">
              <w:rPr>
                <w:rFonts w:asciiTheme="majorBidi" w:hAnsiTheme="majorBidi" w:cstheme="majorBidi"/>
                <w:bCs/>
                <w:szCs w:val="24"/>
                <w:lang w:val="es-ES"/>
              </w:rPr>
              <w:t xml:space="preserve"> </w:t>
            </w:r>
            <w:hyperlink r:id="rId265" w:history="1">
              <w:r w:rsidRPr="00D2027A">
                <w:rPr>
                  <w:rStyle w:val="Hyperlink"/>
                  <w:rFonts w:asciiTheme="majorBidi" w:hAnsiTheme="majorBidi" w:cstheme="majorBidi"/>
                  <w:bCs/>
                  <w:szCs w:val="24"/>
                  <w:lang w:val="es-ES"/>
                </w:rPr>
                <w:t>CMR19/510</w:t>
              </w:r>
            </w:hyperlink>
          </w:p>
        </w:tc>
        <w:tc>
          <w:tcPr>
            <w:tcW w:w="2312" w:type="pct"/>
          </w:tcPr>
          <w:p w14:paraId="1E9ED76F" w14:textId="309DF217" w:rsidR="00967792" w:rsidRPr="00A61288" w:rsidRDefault="00967792" w:rsidP="00B53355">
            <w:pPr>
              <w:spacing w:before="40" w:after="40"/>
              <w:rPr>
                <w:sz w:val="22"/>
                <w:lang w:val="es-ES"/>
              </w:rPr>
            </w:pPr>
            <w:r w:rsidRPr="00A61288">
              <w:rPr>
                <w:sz w:val="22"/>
                <w:lang w:val="es-ES"/>
              </w:rPr>
              <w:t>13.7</w:t>
            </w:r>
            <w:r w:rsidRPr="00A61288">
              <w:rPr>
                <w:sz w:val="22"/>
                <w:lang w:val="es-ES"/>
              </w:rPr>
              <w:tab/>
            </w:r>
            <w:bookmarkStart w:id="116" w:name="lt_pId534"/>
            <w:r w:rsidRPr="00A61288">
              <w:rPr>
                <w:sz w:val="22"/>
                <w:lang w:val="es-ES"/>
              </w:rPr>
              <w:t xml:space="preserve">El </w:t>
            </w:r>
            <w:r w:rsidRPr="00A61288">
              <w:rPr>
                <w:b/>
                <w:bCs/>
                <w:sz w:val="22"/>
                <w:lang w:val="es-ES"/>
              </w:rPr>
              <w:t>Presidente</w:t>
            </w:r>
            <w:r w:rsidRPr="00A61288">
              <w:rPr>
                <w:sz w:val="22"/>
                <w:lang w:val="es-ES"/>
              </w:rPr>
              <w:t xml:space="preserve"> invita a los participantes a examinar el Documento</w:t>
            </w:r>
            <w:r w:rsidR="0085397B">
              <w:rPr>
                <w:sz w:val="22"/>
                <w:lang w:val="es-ES"/>
              </w:rPr>
              <w:t> </w:t>
            </w:r>
            <w:r w:rsidRPr="00A61288">
              <w:rPr>
                <w:sz w:val="22"/>
                <w:lang w:val="es-ES"/>
              </w:rPr>
              <w:t>510, cuya aprobación fue aplazada anteriormente en la reunión. Se propone que se apruebe el siguiente texto, contenido en dicho documento, y que se incluya en las actas de la Sesión Plenaria a modo de decisión de la Conferencia:</w:t>
            </w:r>
          </w:p>
          <w:bookmarkEnd w:id="116"/>
          <w:p w14:paraId="4EBB8E3F" w14:textId="365D2556" w:rsidR="00967792" w:rsidRPr="00A61288" w:rsidRDefault="00967792" w:rsidP="00B53355">
            <w:pPr>
              <w:spacing w:before="40" w:after="40"/>
              <w:rPr>
                <w:b/>
                <w:sz w:val="22"/>
                <w:lang w:val="es-ES"/>
              </w:rPr>
            </w:pPr>
            <w:r w:rsidRPr="00A61288">
              <w:rPr>
                <w:b/>
                <w:sz w:val="22"/>
                <w:lang w:val="es-ES"/>
              </w:rPr>
              <w:t>«Instrucciones a la Oficina de Radiocomunicaciones en aplicación del Anexo 3 y el Anexo 4 del Apéndice 30B del RR, así como de los criterios a los que se hace referencia en la Resolución [A7(E)-</w:t>
            </w:r>
            <w:r w:rsidRPr="00A61288">
              <w:rPr>
                <w:b/>
                <w:sz w:val="22"/>
                <w:lang w:val="es-ES"/>
              </w:rPr>
              <w:lastRenderedPageBreak/>
              <w:t>AP30B] (CMR-19) en su tramitación, después del 22 de noviembre de 2019, de las notificaciones recibidas en virtud de dicho Apéndice</w:t>
            </w:r>
          </w:p>
          <w:p w14:paraId="0C4CE753" w14:textId="77777777" w:rsidR="00967792" w:rsidRPr="00A61288" w:rsidRDefault="00967792" w:rsidP="00B53355">
            <w:pPr>
              <w:spacing w:before="40" w:after="40"/>
              <w:rPr>
                <w:sz w:val="22"/>
                <w:lang w:val="es-ES"/>
              </w:rPr>
            </w:pPr>
            <w:r w:rsidRPr="00A61288">
              <w:rPr>
                <w:sz w:val="22"/>
                <w:lang w:val="es-ES"/>
              </w:rPr>
              <w:t xml:space="preserve">La Oficina de Radiocomunicaciones seguirá calculando y actualizando valores procedentes de una sola fuente ya aceptados, tanto del enlace ascendente como del enlace descendente, para todas las redes de satélites del Apéndice </w:t>
            </w:r>
            <w:r w:rsidRPr="00A61288">
              <w:rPr>
                <w:b/>
                <w:bCs/>
                <w:sz w:val="22"/>
                <w:lang w:val="es-ES"/>
              </w:rPr>
              <w:t>30B</w:t>
            </w:r>
            <w:r w:rsidRPr="00A61288">
              <w:rPr>
                <w:sz w:val="22"/>
                <w:lang w:val="es-ES"/>
              </w:rPr>
              <w:t xml:space="preserve"> del RR de acuerdo con lo dispuesto en las notas X2 y X3 al punto 2.1 del Anexo 4 del Apéndice </w:t>
            </w:r>
            <w:r w:rsidRPr="00A61288">
              <w:rPr>
                <w:b/>
                <w:bCs/>
                <w:sz w:val="22"/>
                <w:lang w:val="es-ES"/>
              </w:rPr>
              <w:t>30B</w:t>
            </w:r>
            <w:r w:rsidRPr="00A61288">
              <w:rPr>
                <w:sz w:val="22"/>
                <w:lang w:val="es-ES"/>
              </w:rPr>
              <w:t xml:space="preserve"> </w:t>
            </w:r>
            <w:r w:rsidRPr="00A61288">
              <w:rPr>
                <w:b/>
                <w:bCs/>
                <w:sz w:val="22"/>
                <w:lang w:val="es-ES"/>
              </w:rPr>
              <w:t>(Rev.CMR-19)</w:t>
            </w:r>
            <w:r w:rsidRPr="00A61288">
              <w:rPr>
                <w:sz w:val="22"/>
                <w:lang w:val="es-ES"/>
              </w:rPr>
              <w:t xml:space="preserve"> del RR, de manera que dicha información pueda ser utilizada por las administraciones durante la coordinación de sus redes respectivas. La Oficina de Radiocomunicaciones aplicará:</w:t>
            </w:r>
          </w:p>
          <w:p w14:paraId="7D5305DC" w14:textId="77777777" w:rsidR="00967792" w:rsidRPr="00A61288" w:rsidRDefault="00967792" w:rsidP="00B53355">
            <w:pPr>
              <w:spacing w:before="40" w:after="40"/>
              <w:rPr>
                <w:sz w:val="22"/>
                <w:lang w:val="es-ES"/>
              </w:rPr>
            </w:pPr>
            <w:r w:rsidRPr="00A61288">
              <w:rPr>
                <w:sz w:val="22"/>
                <w:lang w:val="es-ES"/>
              </w:rPr>
              <w:t>1</w:t>
            </w:r>
            <w:r w:rsidRPr="00A61288">
              <w:rPr>
                <w:sz w:val="22"/>
                <w:lang w:val="es-ES"/>
              </w:rPr>
              <w:tab/>
              <w:t xml:space="preserve">Para las notificaciones completas con arreglo al § 6.1 </w:t>
            </w:r>
            <w:bookmarkStart w:id="117" w:name="_Hlk24908567"/>
            <w:r w:rsidRPr="00A61288">
              <w:rPr>
                <w:sz w:val="22"/>
                <w:lang w:val="es-ES"/>
              </w:rPr>
              <w:t>recibidas por la Oficina antes del 23 de noviembre de 2019</w:t>
            </w:r>
            <w:bookmarkEnd w:id="117"/>
            <w:r w:rsidRPr="00A61288">
              <w:rPr>
                <w:sz w:val="22"/>
                <w:lang w:val="es-ES"/>
              </w:rPr>
              <w:t>:</w:t>
            </w:r>
          </w:p>
          <w:p w14:paraId="7514B74A" w14:textId="77777777" w:rsidR="00967792" w:rsidRPr="00A61288" w:rsidRDefault="00967792" w:rsidP="00B53355">
            <w:pPr>
              <w:spacing w:before="40" w:after="40"/>
              <w:rPr>
                <w:sz w:val="22"/>
                <w:lang w:val="es-ES"/>
              </w:rPr>
            </w:pPr>
            <w:r w:rsidRPr="00A61288">
              <w:rPr>
                <w:i/>
                <w:iCs/>
                <w:sz w:val="22"/>
                <w:lang w:val="es-ES"/>
              </w:rPr>
              <w:t>a)</w:t>
            </w:r>
            <w:r w:rsidRPr="00A61288">
              <w:rPr>
                <w:sz w:val="22"/>
                <w:lang w:val="es-ES"/>
              </w:rPr>
              <w:tab/>
              <w:t>el Anexo 3 (CMR-07) en su examen en virtud del § 6.3 b);</w:t>
            </w:r>
          </w:p>
          <w:p w14:paraId="36C88127" w14:textId="77777777" w:rsidR="00967792" w:rsidRPr="00A61288" w:rsidRDefault="00967792" w:rsidP="00B53355">
            <w:pPr>
              <w:spacing w:before="40" w:after="40"/>
              <w:rPr>
                <w:sz w:val="22"/>
                <w:lang w:val="es-ES"/>
              </w:rPr>
            </w:pPr>
            <w:r w:rsidRPr="00A61288">
              <w:rPr>
                <w:i/>
                <w:iCs/>
                <w:sz w:val="22"/>
                <w:lang w:val="es-ES"/>
              </w:rPr>
              <w:t>b)</w:t>
            </w:r>
            <w:r w:rsidRPr="00A61288">
              <w:rPr>
                <w:sz w:val="22"/>
                <w:lang w:val="es-ES"/>
              </w:rPr>
              <w:tab/>
              <w:t>el Anexo 4 (Rev.CMR-07) en su examen en virtud del § 6.5.</w:t>
            </w:r>
          </w:p>
          <w:p w14:paraId="450F84F7" w14:textId="77777777" w:rsidR="00967792" w:rsidRPr="00A61288" w:rsidRDefault="00967792" w:rsidP="00B53355">
            <w:pPr>
              <w:spacing w:before="40" w:after="40"/>
              <w:rPr>
                <w:sz w:val="22"/>
                <w:lang w:val="es-ES"/>
              </w:rPr>
            </w:pPr>
            <w:r w:rsidRPr="00A61288">
              <w:rPr>
                <w:sz w:val="22"/>
                <w:lang w:val="es-ES"/>
              </w:rPr>
              <w:t>NOTA – Incluida la protección de las notificaciones en el marco del Tema E examinadas antes de la Parte A.</w:t>
            </w:r>
          </w:p>
          <w:p w14:paraId="7F6CE2B9" w14:textId="77777777" w:rsidR="00967792" w:rsidRPr="00A61288" w:rsidRDefault="00967792" w:rsidP="00B53355">
            <w:pPr>
              <w:spacing w:before="40" w:after="40"/>
              <w:rPr>
                <w:sz w:val="22"/>
                <w:lang w:val="es-ES"/>
              </w:rPr>
            </w:pPr>
            <w:r w:rsidRPr="00A61288">
              <w:rPr>
                <w:sz w:val="22"/>
                <w:lang w:val="es-ES"/>
              </w:rPr>
              <w:t>2</w:t>
            </w:r>
            <w:r w:rsidRPr="00A61288">
              <w:rPr>
                <w:sz w:val="22"/>
                <w:lang w:val="es-ES"/>
              </w:rPr>
              <w:tab/>
              <w:t>Para las notificaciones completas con arreglo al § 6.17 recibidas por la Oficina antes del 23 de noviembre de 2019:</w:t>
            </w:r>
          </w:p>
          <w:p w14:paraId="0F42E219" w14:textId="77777777" w:rsidR="00967792" w:rsidRPr="00A61288" w:rsidRDefault="00967792" w:rsidP="00B53355">
            <w:pPr>
              <w:spacing w:before="40" w:after="40"/>
              <w:rPr>
                <w:sz w:val="22"/>
                <w:lang w:val="es-ES"/>
              </w:rPr>
            </w:pPr>
            <w:r w:rsidRPr="00A61288">
              <w:rPr>
                <w:i/>
                <w:iCs/>
                <w:sz w:val="22"/>
                <w:lang w:val="es-ES"/>
              </w:rPr>
              <w:t>a)</w:t>
            </w:r>
            <w:r w:rsidRPr="00A61288">
              <w:rPr>
                <w:sz w:val="22"/>
                <w:lang w:val="es-ES"/>
              </w:rPr>
              <w:tab/>
              <w:t>el Anexo 3 (CMR-07) en su examen en virtud del § 6.19 c);</w:t>
            </w:r>
          </w:p>
          <w:p w14:paraId="13E89B8C" w14:textId="77777777" w:rsidR="00967792" w:rsidRPr="00A61288" w:rsidRDefault="00967792" w:rsidP="00B53355">
            <w:pPr>
              <w:spacing w:before="40" w:after="40"/>
              <w:rPr>
                <w:sz w:val="22"/>
                <w:lang w:val="es-ES"/>
              </w:rPr>
            </w:pPr>
            <w:r w:rsidRPr="00A61288">
              <w:rPr>
                <w:i/>
                <w:iCs/>
                <w:sz w:val="22"/>
                <w:lang w:val="es-ES"/>
              </w:rPr>
              <w:t>b)</w:t>
            </w:r>
            <w:r w:rsidRPr="00A61288">
              <w:rPr>
                <w:sz w:val="22"/>
                <w:lang w:val="es-ES"/>
              </w:rPr>
              <w:tab/>
              <w:t>el Anexo 4 (Rev.CMR-07) en su examen en virtud del § 6.21;</w:t>
            </w:r>
          </w:p>
          <w:p w14:paraId="5DA401C1" w14:textId="77777777" w:rsidR="00967792" w:rsidRPr="00A61288" w:rsidRDefault="00967792" w:rsidP="0085397B">
            <w:pPr>
              <w:spacing w:before="40" w:after="40"/>
              <w:ind w:left="794" w:hanging="794"/>
              <w:rPr>
                <w:sz w:val="22"/>
                <w:lang w:val="es-ES"/>
              </w:rPr>
            </w:pPr>
            <w:r w:rsidRPr="00A61288">
              <w:rPr>
                <w:i/>
                <w:iCs/>
                <w:sz w:val="22"/>
                <w:lang w:val="es-ES"/>
              </w:rPr>
              <w:t>c)</w:t>
            </w:r>
            <w:r w:rsidRPr="00A61288">
              <w:rPr>
                <w:sz w:val="22"/>
                <w:lang w:val="es-ES"/>
              </w:rPr>
              <w:tab/>
              <w:t>el Anexo 4 (Rev.CMR-07) en su examen adicional con arreglo a la nueva nota al § 6.21 c);</w:t>
            </w:r>
          </w:p>
          <w:p w14:paraId="77E43648" w14:textId="77777777" w:rsidR="00967792" w:rsidRPr="00A61288" w:rsidRDefault="00967792" w:rsidP="00B53355">
            <w:pPr>
              <w:spacing w:before="40" w:after="40"/>
              <w:rPr>
                <w:sz w:val="22"/>
                <w:lang w:val="es-ES"/>
              </w:rPr>
            </w:pPr>
            <w:r w:rsidRPr="00A61288">
              <w:rPr>
                <w:i/>
                <w:iCs/>
                <w:sz w:val="22"/>
                <w:lang w:val="es-ES"/>
              </w:rPr>
              <w:t>d)</w:t>
            </w:r>
            <w:r w:rsidRPr="00A61288">
              <w:rPr>
                <w:sz w:val="22"/>
                <w:lang w:val="es-ES"/>
              </w:rPr>
              <w:tab/>
              <w:t>el Anexo 4 (Rev.CMR-07) en su examen en virtud del § 6.22.</w:t>
            </w:r>
          </w:p>
          <w:p w14:paraId="09035AF3" w14:textId="77777777" w:rsidR="00967792" w:rsidRPr="00A61288" w:rsidRDefault="00967792" w:rsidP="00B53355">
            <w:pPr>
              <w:spacing w:before="40" w:after="40"/>
              <w:rPr>
                <w:sz w:val="22"/>
                <w:lang w:val="es-ES"/>
              </w:rPr>
            </w:pPr>
            <w:r w:rsidRPr="00A61288">
              <w:rPr>
                <w:sz w:val="22"/>
                <w:lang w:val="es-ES"/>
              </w:rPr>
              <w:t>NOTA – Incluida la protección de las notificaciones en el marco del Tema E examinadas antes de la Parte B.</w:t>
            </w:r>
          </w:p>
          <w:p w14:paraId="60C4DA3E" w14:textId="77777777" w:rsidR="00967792" w:rsidRPr="00A61288" w:rsidRDefault="00967792" w:rsidP="00B53355">
            <w:pPr>
              <w:spacing w:before="40" w:after="40"/>
              <w:rPr>
                <w:sz w:val="22"/>
                <w:lang w:val="es-ES"/>
              </w:rPr>
            </w:pPr>
            <w:r w:rsidRPr="00A61288">
              <w:rPr>
                <w:sz w:val="22"/>
                <w:lang w:val="es-ES"/>
              </w:rPr>
              <w:t>3</w:t>
            </w:r>
            <w:r w:rsidRPr="00A61288">
              <w:rPr>
                <w:sz w:val="22"/>
                <w:lang w:val="es-ES"/>
              </w:rPr>
              <w:tab/>
              <w:t xml:space="preserve">Para las notificaciones completas con arreglo al § 6.17 recibidas por la Oficina después del 22 de noviembre de 2019, </w:t>
            </w:r>
            <w:bookmarkStart w:id="118" w:name="_Hlk24908899"/>
            <w:r w:rsidRPr="00A61288">
              <w:rPr>
                <w:sz w:val="22"/>
                <w:lang w:val="es-ES"/>
              </w:rPr>
              <w:t>relacionadas con las notificaciones completas con arreglo al § 6.1 recibidas por la Oficina antes del 23 de noviembre de 2019</w:t>
            </w:r>
            <w:bookmarkEnd w:id="118"/>
            <w:r w:rsidRPr="00A61288">
              <w:rPr>
                <w:sz w:val="22"/>
                <w:lang w:val="es-ES"/>
              </w:rPr>
              <w:t>:</w:t>
            </w:r>
          </w:p>
          <w:p w14:paraId="7AF55EAD" w14:textId="77777777" w:rsidR="00967792" w:rsidRPr="00A61288" w:rsidRDefault="00967792" w:rsidP="00B53355">
            <w:pPr>
              <w:spacing w:before="40" w:after="40"/>
              <w:rPr>
                <w:sz w:val="22"/>
                <w:lang w:val="es-ES"/>
              </w:rPr>
            </w:pPr>
            <w:r w:rsidRPr="00A61288">
              <w:rPr>
                <w:i/>
                <w:iCs/>
                <w:sz w:val="22"/>
                <w:lang w:val="es-ES"/>
              </w:rPr>
              <w:t>a)</w:t>
            </w:r>
            <w:r w:rsidRPr="00A61288">
              <w:rPr>
                <w:sz w:val="22"/>
                <w:lang w:val="es-ES"/>
              </w:rPr>
              <w:tab/>
              <w:t>el Anexo 3 (CMR-07) en su examen en virtud del § 6.19 c);</w:t>
            </w:r>
          </w:p>
          <w:p w14:paraId="323E111A" w14:textId="77777777" w:rsidR="00967792" w:rsidRPr="00A61288" w:rsidRDefault="00967792" w:rsidP="00B53355">
            <w:pPr>
              <w:spacing w:before="40" w:after="40"/>
              <w:rPr>
                <w:sz w:val="22"/>
                <w:lang w:val="es-ES"/>
              </w:rPr>
            </w:pPr>
            <w:r w:rsidRPr="00A61288">
              <w:rPr>
                <w:i/>
                <w:iCs/>
                <w:sz w:val="22"/>
                <w:lang w:val="es-ES"/>
              </w:rPr>
              <w:t>b)</w:t>
            </w:r>
            <w:r w:rsidRPr="00A61288">
              <w:rPr>
                <w:sz w:val="22"/>
                <w:lang w:val="es-ES"/>
              </w:rPr>
              <w:tab/>
              <w:t>el Anexo 4 (</w:t>
            </w:r>
            <w:bookmarkStart w:id="119" w:name="_Hlk24976503"/>
            <w:r w:rsidRPr="00A61288">
              <w:rPr>
                <w:sz w:val="22"/>
                <w:lang w:val="es-ES"/>
              </w:rPr>
              <w:t>Rev.</w:t>
            </w:r>
            <w:bookmarkEnd w:id="119"/>
            <w:r w:rsidRPr="00A61288">
              <w:rPr>
                <w:sz w:val="22"/>
                <w:lang w:val="es-ES"/>
              </w:rPr>
              <w:t>CMR-07) en su examen en virtud del § 6.21;</w:t>
            </w:r>
          </w:p>
          <w:p w14:paraId="1222EED6" w14:textId="77777777" w:rsidR="00967792" w:rsidRPr="00A61288" w:rsidRDefault="00967792" w:rsidP="0085397B">
            <w:pPr>
              <w:spacing w:before="40" w:after="40"/>
              <w:ind w:left="794" w:hanging="794"/>
              <w:rPr>
                <w:sz w:val="22"/>
                <w:lang w:val="es-ES"/>
              </w:rPr>
            </w:pPr>
            <w:r w:rsidRPr="00A61288">
              <w:rPr>
                <w:i/>
                <w:iCs/>
                <w:sz w:val="22"/>
                <w:lang w:val="es-ES"/>
              </w:rPr>
              <w:lastRenderedPageBreak/>
              <w:t>c)</w:t>
            </w:r>
            <w:r w:rsidRPr="00A61288">
              <w:rPr>
                <w:sz w:val="22"/>
                <w:lang w:val="es-ES"/>
              </w:rPr>
              <w:tab/>
              <w:t>el Anexo 4 (Rev.CMR-07) en su examen adicional con arreglo a la nota YY al § 6.21 c) si las demás asignaciones afectadas están inscritas en la Lista antes del 23 de noviembre de 2019;</w:t>
            </w:r>
          </w:p>
          <w:p w14:paraId="613139CB" w14:textId="77777777" w:rsidR="00967792" w:rsidRPr="00A61288" w:rsidRDefault="00967792" w:rsidP="0085397B">
            <w:pPr>
              <w:spacing w:before="40" w:after="40"/>
              <w:ind w:left="794" w:hanging="794"/>
              <w:rPr>
                <w:sz w:val="22"/>
                <w:lang w:val="es-ES"/>
              </w:rPr>
            </w:pPr>
            <w:r w:rsidRPr="00A61288">
              <w:rPr>
                <w:i/>
                <w:iCs/>
                <w:sz w:val="22"/>
                <w:lang w:val="es-ES"/>
              </w:rPr>
              <w:t>d)</w:t>
            </w:r>
            <w:r w:rsidRPr="00A61288">
              <w:rPr>
                <w:sz w:val="22"/>
                <w:lang w:val="es-ES"/>
              </w:rPr>
              <w:tab/>
              <w:t>el Anexo 4 (Rev.CMR-19) en su examen adicional con arreglo a la nota YY al § 6.21 c) si las demás asignaciones afectadas están inscritas en la Lista después del 22 de noviembre de 2019;</w:t>
            </w:r>
          </w:p>
          <w:p w14:paraId="38830779" w14:textId="77777777" w:rsidR="00967792" w:rsidRPr="00A61288" w:rsidRDefault="00967792" w:rsidP="00B53355">
            <w:pPr>
              <w:spacing w:before="40" w:after="40"/>
              <w:rPr>
                <w:sz w:val="22"/>
                <w:lang w:val="es-ES"/>
              </w:rPr>
            </w:pPr>
            <w:r w:rsidRPr="00A61288">
              <w:rPr>
                <w:i/>
                <w:iCs/>
                <w:sz w:val="22"/>
                <w:lang w:val="es-ES"/>
              </w:rPr>
              <w:t>e)</w:t>
            </w:r>
            <w:r w:rsidRPr="00A61288">
              <w:rPr>
                <w:sz w:val="22"/>
                <w:lang w:val="es-ES"/>
              </w:rPr>
              <w:tab/>
              <w:t>el Anexo 4 (Rev.CMR-19) en su examen en virtud del § 6.22.</w:t>
            </w:r>
          </w:p>
          <w:p w14:paraId="15C287EC" w14:textId="77777777" w:rsidR="00967792" w:rsidRPr="00A61288" w:rsidRDefault="00967792" w:rsidP="00B53355">
            <w:pPr>
              <w:spacing w:before="40" w:after="40"/>
              <w:rPr>
                <w:sz w:val="22"/>
                <w:lang w:val="es-ES"/>
              </w:rPr>
            </w:pPr>
            <w:r w:rsidRPr="00A61288">
              <w:rPr>
                <w:sz w:val="22"/>
                <w:lang w:val="es-ES"/>
              </w:rPr>
              <w:t>NOTA – Incluida la protección de las notificaciones en el marco del Tema E examinadas antes de la Parte A y/o de la Parte B.</w:t>
            </w:r>
          </w:p>
          <w:p w14:paraId="62E52FD7" w14:textId="77777777" w:rsidR="00967792" w:rsidRPr="00A61288" w:rsidRDefault="00967792" w:rsidP="00B53355">
            <w:pPr>
              <w:spacing w:before="40" w:after="40"/>
              <w:rPr>
                <w:sz w:val="22"/>
                <w:lang w:val="es-ES"/>
              </w:rPr>
            </w:pPr>
            <w:r w:rsidRPr="00A61288">
              <w:rPr>
                <w:sz w:val="22"/>
                <w:lang w:val="es-ES"/>
              </w:rPr>
              <w:t>4</w:t>
            </w:r>
            <w:r w:rsidRPr="00A61288">
              <w:rPr>
                <w:sz w:val="22"/>
                <w:lang w:val="es-ES"/>
              </w:rPr>
              <w:tab/>
            </w:r>
            <w:bookmarkStart w:id="120" w:name="_Hlk24909044"/>
            <w:r w:rsidRPr="00A61288">
              <w:rPr>
                <w:sz w:val="22"/>
                <w:lang w:val="es-ES"/>
              </w:rPr>
              <w:t xml:space="preserve">Para las notificaciones completas con arreglo al § 6.1 </w:t>
            </w:r>
            <w:bookmarkEnd w:id="120"/>
            <w:r w:rsidRPr="00A61288">
              <w:rPr>
                <w:sz w:val="22"/>
                <w:lang w:val="es-ES"/>
              </w:rPr>
              <w:t>recibidas por la Oficina después del 22 de noviembre de 2019:</w:t>
            </w:r>
          </w:p>
          <w:p w14:paraId="0D693369" w14:textId="77777777" w:rsidR="00967792" w:rsidRPr="00A61288" w:rsidRDefault="00967792" w:rsidP="00B53355">
            <w:pPr>
              <w:spacing w:before="40" w:after="40"/>
              <w:rPr>
                <w:sz w:val="22"/>
                <w:lang w:val="es-ES"/>
              </w:rPr>
            </w:pPr>
            <w:r w:rsidRPr="00A61288">
              <w:rPr>
                <w:i/>
                <w:iCs/>
                <w:sz w:val="22"/>
                <w:lang w:val="es-ES"/>
              </w:rPr>
              <w:t>a)</w:t>
            </w:r>
            <w:r w:rsidRPr="00A61288">
              <w:rPr>
                <w:sz w:val="22"/>
                <w:lang w:val="es-ES"/>
              </w:rPr>
              <w:tab/>
              <w:t>el Anexo 3 (Rev.CMR-19) en su examen en virtud del § 6.3 b);</w:t>
            </w:r>
          </w:p>
          <w:p w14:paraId="17E5F0A1" w14:textId="77777777" w:rsidR="00967792" w:rsidRPr="00A61288" w:rsidRDefault="00967792" w:rsidP="00B53355">
            <w:pPr>
              <w:spacing w:before="40" w:after="40"/>
              <w:rPr>
                <w:sz w:val="22"/>
                <w:lang w:val="es-ES"/>
              </w:rPr>
            </w:pPr>
            <w:r w:rsidRPr="00A61288">
              <w:rPr>
                <w:i/>
                <w:iCs/>
                <w:sz w:val="22"/>
                <w:lang w:val="es-ES"/>
              </w:rPr>
              <w:t>b)</w:t>
            </w:r>
            <w:r w:rsidRPr="00A61288">
              <w:rPr>
                <w:sz w:val="22"/>
                <w:lang w:val="es-ES"/>
              </w:rPr>
              <w:tab/>
              <w:t>el Anexo 4 (Rev.CMR-19) en su examen en virtud del § 6.5.</w:t>
            </w:r>
          </w:p>
          <w:p w14:paraId="6B4D0DC7" w14:textId="77777777" w:rsidR="00967792" w:rsidRPr="00A61288" w:rsidRDefault="00967792" w:rsidP="00B53355">
            <w:pPr>
              <w:spacing w:before="40" w:after="40"/>
              <w:rPr>
                <w:sz w:val="22"/>
                <w:lang w:val="es-ES"/>
              </w:rPr>
            </w:pPr>
            <w:r w:rsidRPr="00A61288">
              <w:rPr>
                <w:sz w:val="22"/>
                <w:lang w:val="es-ES"/>
              </w:rPr>
              <w:t>5</w:t>
            </w:r>
            <w:r w:rsidRPr="00A61288">
              <w:rPr>
                <w:sz w:val="22"/>
                <w:lang w:val="es-ES"/>
              </w:rPr>
              <w:tab/>
              <w:t>Para las notificaciones completas con arreglo al § 6.17 recibidas por la Oficina después del 22 de noviembre de 2019, relacionadas con las notificaciones completas con arreglo al § 6.1 recibidas por la Oficina después del 22 de noviembre de 2019:</w:t>
            </w:r>
          </w:p>
          <w:p w14:paraId="06167B77" w14:textId="77777777" w:rsidR="00967792" w:rsidRPr="00A61288" w:rsidRDefault="00967792" w:rsidP="00B53355">
            <w:pPr>
              <w:spacing w:before="40" w:after="40"/>
              <w:rPr>
                <w:sz w:val="22"/>
                <w:lang w:val="es-ES"/>
              </w:rPr>
            </w:pPr>
            <w:r w:rsidRPr="00A61288">
              <w:rPr>
                <w:i/>
                <w:iCs/>
                <w:sz w:val="22"/>
                <w:lang w:val="es-ES"/>
              </w:rPr>
              <w:t>a)</w:t>
            </w:r>
            <w:r w:rsidRPr="00A61288">
              <w:rPr>
                <w:sz w:val="22"/>
                <w:lang w:val="es-ES"/>
              </w:rPr>
              <w:tab/>
              <w:t>el Anexo 3 (Rev.CMR-19) en su examen en virtud del § 6.19 c);</w:t>
            </w:r>
          </w:p>
          <w:p w14:paraId="278B3490" w14:textId="77777777" w:rsidR="00967792" w:rsidRPr="00A61288" w:rsidRDefault="00967792" w:rsidP="00B53355">
            <w:pPr>
              <w:spacing w:before="40" w:after="40"/>
              <w:rPr>
                <w:sz w:val="22"/>
                <w:lang w:val="es-ES"/>
              </w:rPr>
            </w:pPr>
            <w:r w:rsidRPr="00A61288">
              <w:rPr>
                <w:i/>
                <w:iCs/>
                <w:sz w:val="22"/>
                <w:lang w:val="es-ES"/>
              </w:rPr>
              <w:t>b)</w:t>
            </w:r>
            <w:r w:rsidRPr="00A61288">
              <w:rPr>
                <w:sz w:val="22"/>
                <w:lang w:val="es-ES"/>
              </w:rPr>
              <w:tab/>
              <w:t>el Anexo 4 (Rev.CMR-19) en su examen en virtud del § 6.21;</w:t>
            </w:r>
          </w:p>
          <w:p w14:paraId="226C31DC" w14:textId="77777777" w:rsidR="00967792" w:rsidRPr="00A61288" w:rsidRDefault="00967792" w:rsidP="00B53355">
            <w:pPr>
              <w:spacing w:before="40" w:after="40"/>
              <w:rPr>
                <w:sz w:val="22"/>
                <w:lang w:val="es-ES"/>
              </w:rPr>
            </w:pPr>
            <w:r w:rsidRPr="00A61288">
              <w:rPr>
                <w:i/>
                <w:iCs/>
                <w:sz w:val="22"/>
                <w:lang w:val="es-ES"/>
              </w:rPr>
              <w:t>c)</w:t>
            </w:r>
            <w:r w:rsidRPr="00A61288">
              <w:rPr>
                <w:sz w:val="22"/>
                <w:lang w:val="es-ES"/>
              </w:rPr>
              <w:tab/>
              <w:t>el Anexo 4 (Rev.CMR-19) en su examen en virtud del § 6.22.</w:t>
            </w:r>
          </w:p>
          <w:p w14:paraId="2BC18B95" w14:textId="77777777" w:rsidR="00967792" w:rsidRPr="00A61288" w:rsidRDefault="00967792" w:rsidP="00B53355">
            <w:pPr>
              <w:spacing w:before="40" w:after="40"/>
              <w:rPr>
                <w:sz w:val="22"/>
                <w:lang w:val="es-ES"/>
              </w:rPr>
            </w:pPr>
            <w:r w:rsidRPr="00A61288">
              <w:rPr>
                <w:sz w:val="22"/>
                <w:lang w:val="es-ES"/>
              </w:rPr>
              <w:t>6</w:t>
            </w:r>
            <w:r w:rsidRPr="00A61288">
              <w:rPr>
                <w:sz w:val="22"/>
                <w:lang w:val="es-ES"/>
              </w:rPr>
              <w:tab/>
              <w:t xml:space="preserve">Para las notificaciones completas con arreglo al § 6.1 en aplicación de la Resolución </w:t>
            </w:r>
            <w:r w:rsidRPr="00A61288">
              <w:rPr>
                <w:b/>
                <w:bCs/>
                <w:sz w:val="22"/>
                <w:lang w:val="es-ES"/>
              </w:rPr>
              <w:t>[A7(E)-AP30B] (CMR-19)</w:t>
            </w:r>
            <w:r w:rsidRPr="00A61288">
              <w:rPr>
                <w:sz w:val="22"/>
                <w:lang w:val="es-ES"/>
              </w:rPr>
              <w:t>:</w:t>
            </w:r>
          </w:p>
          <w:p w14:paraId="3B14919F" w14:textId="77777777" w:rsidR="00967792" w:rsidRPr="00A61288" w:rsidRDefault="00967792" w:rsidP="00B53355">
            <w:pPr>
              <w:spacing w:before="40" w:after="40"/>
              <w:rPr>
                <w:sz w:val="22"/>
                <w:lang w:val="es-ES"/>
              </w:rPr>
            </w:pPr>
            <w:r w:rsidRPr="00A61288">
              <w:rPr>
                <w:i/>
                <w:iCs/>
                <w:sz w:val="22"/>
                <w:lang w:val="es-ES"/>
              </w:rPr>
              <w:t>a)</w:t>
            </w:r>
            <w:r w:rsidRPr="00A61288">
              <w:rPr>
                <w:sz w:val="22"/>
                <w:lang w:val="es-ES"/>
              </w:rPr>
              <w:tab/>
              <w:t>el Anexo 3 (Rev.CMR-19) en su examen en virtud del § 6.3 b);</w:t>
            </w:r>
          </w:p>
          <w:p w14:paraId="1F2346F9" w14:textId="77777777" w:rsidR="00967792" w:rsidRPr="00A61288" w:rsidRDefault="00967792" w:rsidP="0085397B">
            <w:pPr>
              <w:spacing w:before="40" w:after="40"/>
              <w:ind w:left="794" w:hanging="794"/>
              <w:rPr>
                <w:sz w:val="22"/>
                <w:lang w:val="es-ES"/>
              </w:rPr>
            </w:pPr>
            <w:r w:rsidRPr="00A61288">
              <w:rPr>
                <w:i/>
                <w:iCs/>
                <w:sz w:val="22"/>
                <w:lang w:val="es-ES"/>
              </w:rPr>
              <w:t>b)</w:t>
            </w:r>
            <w:r w:rsidRPr="00A61288">
              <w:rPr>
                <w:sz w:val="22"/>
                <w:lang w:val="es-ES"/>
              </w:rPr>
              <w:tab/>
              <w:t xml:space="preserve">el Anexo 4 (Rev.CMR-19) y los nuevos criterios a los que se hace referencia en la Resolución </w:t>
            </w:r>
            <w:r w:rsidRPr="00A61288">
              <w:rPr>
                <w:b/>
                <w:bCs/>
                <w:sz w:val="22"/>
                <w:lang w:val="es-ES"/>
              </w:rPr>
              <w:t>[A7(E)</w:t>
            </w:r>
            <w:r w:rsidRPr="00A61288">
              <w:rPr>
                <w:b/>
                <w:bCs/>
                <w:sz w:val="22"/>
                <w:lang w:val="es-ES"/>
              </w:rPr>
              <w:noBreakHyphen/>
              <w:t xml:space="preserve">AP30B] (CMR-19) </w:t>
            </w:r>
            <w:r w:rsidRPr="00A61288">
              <w:rPr>
                <w:sz w:val="22"/>
                <w:lang w:val="es-ES"/>
              </w:rPr>
              <w:t>en su examen en virtud del § 6.5, según corresponda.</w:t>
            </w:r>
          </w:p>
          <w:p w14:paraId="27667981" w14:textId="77777777" w:rsidR="00967792" w:rsidRPr="00A61288" w:rsidRDefault="00967792" w:rsidP="00B53355">
            <w:pPr>
              <w:spacing w:before="40" w:after="40"/>
              <w:rPr>
                <w:sz w:val="22"/>
                <w:lang w:val="es-ES"/>
              </w:rPr>
            </w:pPr>
            <w:r w:rsidRPr="00A61288">
              <w:rPr>
                <w:sz w:val="22"/>
                <w:lang w:val="es-ES"/>
              </w:rPr>
              <w:lastRenderedPageBreak/>
              <w:t>NOTA – Incluido el examen de las notificaciones en el marco del Tema E antes del examen de la última Parte A y/o Parte B normal recibidas antes del 23 de noviembre de 2019.</w:t>
            </w:r>
          </w:p>
          <w:p w14:paraId="21500270" w14:textId="77777777" w:rsidR="00967792" w:rsidRPr="00A61288" w:rsidRDefault="00967792" w:rsidP="00B53355">
            <w:pPr>
              <w:spacing w:before="40" w:after="40"/>
              <w:rPr>
                <w:sz w:val="22"/>
                <w:lang w:val="es-ES"/>
              </w:rPr>
            </w:pPr>
            <w:r w:rsidRPr="00A61288">
              <w:rPr>
                <w:sz w:val="22"/>
                <w:lang w:val="es-ES"/>
              </w:rPr>
              <w:t>7</w:t>
            </w:r>
            <w:r w:rsidRPr="00A61288">
              <w:rPr>
                <w:sz w:val="22"/>
                <w:lang w:val="es-ES"/>
              </w:rPr>
              <w:tab/>
              <w:t xml:space="preserve">Para las notificaciones completas con arreglo al § 6.17 en aplicación de la Resolución </w:t>
            </w:r>
            <w:r w:rsidRPr="00A61288">
              <w:rPr>
                <w:b/>
                <w:bCs/>
                <w:sz w:val="22"/>
                <w:lang w:val="es-ES"/>
              </w:rPr>
              <w:t>[A7(E)-AP30B] (CMR-19)</w:t>
            </w:r>
            <w:r w:rsidRPr="00A61288">
              <w:rPr>
                <w:sz w:val="22"/>
                <w:lang w:val="es-ES"/>
              </w:rPr>
              <w:t>, la Oficina aplicará:</w:t>
            </w:r>
          </w:p>
          <w:p w14:paraId="157A3B7C" w14:textId="77777777" w:rsidR="00967792" w:rsidRPr="00A61288" w:rsidRDefault="00967792" w:rsidP="00B53355">
            <w:pPr>
              <w:spacing w:before="40" w:after="40"/>
              <w:rPr>
                <w:sz w:val="22"/>
                <w:lang w:val="es-ES"/>
              </w:rPr>
            </w:pPr>
            <w:r w:rsidRPr="00A61288">
              <w:rPr>
                <w:i/>
                <w:iCs/>
                <w:sz w:val="22"/>
                <w:lang w:val="es-ES"/>
              </w:rPr>
              <w:t>a)</w:t>
            </w:r>
            <w:r w:rsidRPr="00A61288">
              <w:rPr>
                <w:sz w:val="22"/>
                <w:lang w:val="es-ES"/>
              </w:rPr>
              <w:tab/>
              <w:t>el Anexo 3 (Rev.CMR-19) en su examen en virtud del § 6.19 c);</w:t>
            </w:r>
          </w:p>
          <w:p w14:paraId="0D48D1C0" w14:textId="77777777" w:rsidR="00967792" w:rsidRPr="00A61288" w:rsidRDefault="00967792" w:rsidP="0085397B">
            <w:pPr>
              <w:spacing w:before="40" w:after="40"/>
              <w:ind w:left="794" w:hanging="794"/>
              <w:rPr>
                <w:sz w:val="22"/>
                <w:lang w:val="es-ES"/>
              </w:rPr>
            </w:pPr>
            <w:r w:rsidRPr="00A61288">
              <w:rPr>
                <w:i/>
                <w:iCs/>
                <w:sz w:val="22"/>
                <w:lang w:val="es-ES"/>
              </w:rPr>
              <w:t>b)</w:t>
            </w:r>
            <w:r w:rsidRPr="00A61288">
              <w:rPr>
                <w:sz w:val="22"/>
                <w:lang w:val="es-ES"/>
              </w:rPr>
              <w:tab/>
              <w:t xml:space="preserve">el Anexo 4 (Rev.CMR-19) y los nuevos criterios a los que se hace referencia en la Resolución </w:t>
            </w:r>
            <w:r w:rsidRPr="00A61288">
              <w:rPr>
                <w:b/>
                <w:bCs/>
                <w:sz w:val="22"/>
                <w:lang w:val="es-ES"/>
              </w:rPr>
              <w:t>[A7(E)</w:t>
            </w:r>
            <w:r w:rsidRPr="00A61288">
              <w:rPr>
                <w:b/>
                <w:bCs/>
                <w:sz w:val="22"/>
                <w:lang w:val="es-ES"/>
              </w:rPr>
              <w:noBreakHyphen/>
              <w:t xml:space="preserve">AP30B] (CMR-19) </w:t>
            </w:r>
            <w:r w:rsidRPr="00A61288">
              <w:rPr>
                <w:sz w:val="22"/>
                <w:lang w:val="es-ES"/>
              </w:rPr>
              <w:t>en su examen en virtud del § 6.21, según corresponda;</w:t>
            </w:r>
          </w:p>
          <w:p w14:paraId="3DA37417" w14:textId="77777777" w:rsidR="00967792" w:rsidRPr="00A61288" w:rsidRDefault="00967792" w:rsidP="0085397B">
            <w:pPr>
              <w:spacing w:before="40" w:after="40"/>
              <w:ind w:left="794" w:hanging="794"/>
              <w:rPr>
                <w:sz w:val="22"/>
                <w:lang w:val="es-ES"/>
              </w:rPr>
            </w:pPr>
            <w:r w:rsidRPr="00A61288">
              <w:rPr>
                <w:i/>
                <w:iCs/>
                <w:sz w:val="22"/>
                <w:lang w:val="es-ES"/>
              </w:rPr>
              <w:t>c)</w:t>
            </w:r>
            <w:r w:rsidRPr="00A61288">
              <w:rPr>
                <w:sz w:val="22"/>
                <w:lang w:val="es-ES"/>
              </w:rPr>
              <w:tab/>
              <w:t xml:space="preserve">el Anexo 4 (Rev.CMR-19) y los nuevos criterios a los que se hace referencia en la Resolución </w:t>
            </w:r>
            <w:r w:rsidRPr="00A61288">
              <w:rPr>
                <w:b/>
                <w:bCs/>
                <w:sz w:val="22"/>
                <w:lang w:val="es-ES"/>
              </w:rPr>
              <w:t>[A7(E)</w:t>
            </w:r>
            <w:r w:rsidRPr="00A61288">
              <w:rPr>
                <w:b/>
                <w:bCs/>
                <w:sz w:val="22"/>
                <w:lang w:val="es-ES"/>
              </w:rPr>
              <w:noBreakHyphen/>
              <w:t>AP30B] (CMR-19)</w:t>
            </w:r>
            <w:r w:rsidRPr="00A61288">
              <w:rPr>
                <w:sz w:val="22"/>
                <w:lang w:val="es-ES"/>
              </w:rPr>
              <w:t xml:space="preserve"> en su examen adicional con arreglo a la nota YY al § 6.21 c), según corresponda;</w:t>
            </w:r>
          </w:p>
          <w:p w14:paraId="42A958D1" w14:textId="77777777" w:rsidR="00967792" w:rsidRPr="00A61288" w:rsidRDefault="00967792" w:rsidP="0085397B">
            <w:pPr>
              <w:spacing w:before="40" w:after="40"/>
              <w:ind w:left="794" w:hanging="794"/>
              <w:rPr>
                <w:sz w:val="22"/>
                <w:lang w:val="es-ES"/>
              </w:rPr>
            </w:pPr>
            <w:r w:rsidRPr="00A61288">
              <w:rPr>
                <w:i/>
                <w:iCs/>
                <w:sz w:val="22"/>
                <w:lang w:val="es-ES"/>
              </w:rPr>
              <w:t>d)</w:t>
            </w:r>
            <w:r w:rsidRPr="00A61288">
              <w:rPr>
                <w:sz w:val="22"/>
                <w:lang w:val="es-ES"/>
              </w:rPr>
              <w:tab/>
              <w:t xml:space="preserve">el Anexo 4 (Rev.CMR-19) y los nuevos criterios a los que se hace referencia en la Resolución </w:t>
            </w:r>
            <w:r w:rsidRPr="00A61288">
              <w:rPr>
                <w:b/>
                <w:bCs/>
                <w:sz w:val="22"/>
                <w:lang w:val="es-ES"/>
              </w:rPr>
              <w:t>[A7(E)</w:t>
            </w:r>
            <w:r w:rsidRPr="00A61288">
              <w:rPr>
                <w:b/>
                <w:bCs/>
                <w:sz w:val="22"/>
                <w:lang w:val="es-ES"/>
              </w:rPr>
              <w:noBreakHyphen/>
              <w:t>AP30B] (CMR-19)</w:t>
            </w:r>
            <w:r w:rsidRPr="00A61288">
              <w:rPr>
                <w:sz w:val="22"/>
                <w:lang w:val="es-ES"/>
              </w:rPr>
              <w:t xml:space="preserve"> en su examen en virtud del § 6.22, según corresponda.</w:t>
            </w:r>
          </w:p>
          <w:p w14:paraId="75C1282F" w14:textId="77777777" w:rsidR="00967792" w:rsidRPr="00A61288" w:rsidRDefault="00967792" w:rsidP="00B53355">
            <w:pPr>
              <w:spacing w:before="40" w:after="40"/>
              <w:rPr>
                <w:sz w:val="22"/>
                <w:lang w:val="es-ES"/>
              </w:rPr>
            </w:pPr>
            <w:r w:rsidRPr="00A61288">
              <w:rPr>
                <w:sz w:val="22"/>
                <w:lang w:val="es-ES"/>
              </w:rPr>
              <w:t>Aplicación del § 6.16:</w:t>
            </w:r>
          </w:p>
          <w:p w14:paraId="0E2F8040" w14:textId="77777777" w:rsidR="00967792" w:rsidRPr="00A61288" w:rsidRDefault="00967792" w:rsidP="0085397B">
            <w:pPr>
              <w:spacing w:before="40" w:after="40"/>
              <w:ind w:left="794" w:hanging="794"/>
              <w:rPr>
                <w:sz w:val="22"/>
                <w:lang w:val="es-ES"/>
              </w:rPr>
            </w:pPr>
            <w:r w:rsidRPr="00A61288">
              <w:rPr>
                <w:sz w:val="22"/>
                <w:lang w:val="es-ES"/>
              </w:rPr>
              <w:t>–</w:t>
            </w:r>
            <w:r w:rsidRPr="00A61288">
              <w:rPr>
                <w:sz w:val="22"/>
                <w:lang w:val="es-ES"/>
              </w:rPr>
              <w:tab/>
              <w:t>Al excluir los territorios de las administraciones concernidas, la Oficina aplicará el Anexo 4 (Rev.CMR-07) hasta que haya sido examinada la última notificación completa con arreglo al § 6.1 o al § 6.17 recibida por la Oficina antes del 23 de noviembre de 2019, y después el Anexo 4 (Rev.CMR-19).</w:t>
            </w:r>
          </w:p>
          <w:p w14:paraId="4F57BD63" w14:textId="77777777" w:rsidR="00967792" w:rsidRPr="00A61288" w:rsidRDefault="00967792" w:rsidP="0085397B">
            <w:pPr>
              <w:spacing w:before="40" w:after="40"/>
              <w:ind w:left="794" w:hanging="794"/>
              <w:rPr>
                <w:sz w:val="22"/>
                <w:lang w:val="es-ES"/>
              </w:rPr>
            </w:pPr>
            <w:r w:rsidRPr="00A61288">
              <w:rPr>
                <w:sz w:val="22"/>
                <w:lang w:val="es-ES"/>
              </w:rPr>
              <w:t>–</w:t>
            </w:r>
            <w:r w:rsidRPr="00A61288">
              <w:rPr>
                <w:sz w:val="22"/>
                <w:lang w:val="es-ES"/>
              </w:rPr>
              <w:tab/>
              <w:t>Si se presenta la solicitud del § 6.16 a fin de que se tome en cuenta para el examen de una notificación completa con arreglo al § 6.17, al examinar dichas notificaciones, la Oficina aplicará el Anexo 4 apropiado utilizado en el examen con arreglo al § 6.21 y al § 6.22 según se indica más arriba.</w:t>
            </w:r>
          </w:p>
          <w:p w14:paraId="74096A42" w14:textId="77777777" w:rsidR="00967792" w:rsidRPr="00A61288" w:rsidRDefault="00967792" w:rsidP="00B53355">
            <w:pPr>
              <w:spacing w:before="40" w:after="40"/>
              <w:rPr>
                <w:sz w:val="22"/>
                <w:lang w:val="es-ES"/>
              </w:rPr>
            </w:pPr>
            <w:r w:rsidRPr="00A61288">
              <w:rPr>
                <w:sz w:val="22"/>
                <w:lang w:val="es-ES"/>
              </w:rPr>
              <w:t xml:space="preserve">Aplicación del § 6.27 al actualizar los criterios: La Oficina aplicará el Anexo 4 (Rev.CMR-07) hasta que se haya examinado la última notificación completa con arreglo al § 6.1 o § 6.17 recibida por la </w:t>
            </w:r>
            <w:r w:rsidRPr="00A61288">
              <w:rPr>
                <w:sz w:val="22"/>
                <w:lang w:val="es-ES"/>
              </w:rPr>
              <w:lastRenderedPageBreak/>
              <w:t>Oficina antes del 23 de noviembre de 2019, y después el Anexo 4 (Rev.CMR-19).</w:t>
            </w:r>
          </w:p>
          <w:p w14:paraId="283E6A60" w14:textId="77777777" w:rsidR="00967792" w:rsidRPr="00A61288" w:rsidRDefault="00967792" w:rsidP="00B53355">
            <w:pPr>
              <w:spacing w:before="40" w:after="40"/>
              <w:rPr>
                <w:sz w:val="22"/>
                <w:lang w:val="es-ES"/>
              </w:rPr>
            </w:pPr>
            <w:r w:rsidRPr="00A61288">
              <w:rPr>
                <w:sz w:val="22"/>
                <w:lang w:val="es-ES"/>
              </w:rPr>
              <w:t>Aplicación del § 7.5:</w:t>
            </w:r>
          </w:p>
          <w:p w14:paraId="7D83BD36" w14:textId="77777777" w:rsidR="00967792" w:rsidRPr="00A61288" w:rsidRDefault="00967792" w:rsidP="0085397B">
            <w:pPr>
              <w:spacing w:before="40" w:after="40"/>
              <w:ind w:left="794" w:hanging="794"/>
              <w:rPr>
                <w:sz w:val="22"/>
                <w:lang w:val="es-ES"/>
              </w:rPr>
            </w:pPr>
            <w:r w:rsidRPr="00A61288">
              <w:rPr>
                <w:sz w:val="22"/>
                <w:lang w:val="es-ES"/>
              </w:rPr>
              <w:t>–</w:t>
            </w:r>
            <w:r w:rsidRPr="00A61288">
              <w:rPr>
                <w:sz w:val="22"/>
                <w:lang w:val="es-ES"/>
              </w:rPr>
              <w:tab/>
              <w:t>Para una solicitud con arreglo al Artículo </w:t>
            </w:r>
            <w:r w:rsidRPr="00A61288">
              <w:rPr>
                <w:b/>
                <w:bCs/>
                <w:sz w:val="22"/>
                <w:lang w:val="es-ES"/>
              </w:rPr>
              <w:t>7</w:t>
            </w:r>
            <w:r w:rsidRPr="00A61288">
              <w:rPr>
                <w:sz w:val="22"/>
                <w:lang w:val="es-ES"/>
              </w:rPr>
              <w:t xml:space="preserve"> recibida antes del 23 de noviembre de 2019, la Oficina aplicará el Anexo 3 (CMR-07) y el Anexo 4 (Rev.CMR-07).</w:t>
            </w:r>
          </w:p>
          <w:p w14:paraId="41FEC6BD" w14:textId="77777777" w:rsidR="00967792" w:rsidRPr="00A61288" w:rsidRDefault="00967792" w:rsidP="0085397B">
            <w:pPr>
              <w:spacing w:before="40" w:after="40"/>
              <w:ind w:left="794" w:hanging="794"/>
              <w:rPr>
                <w:sz w:val="22"/>
                <w:lang w:val="es-ES"/>
              </w:rPr>
            </w:pPr>
            <w:r w:rsidRPr="00A61288">
              <w:rPr>
                <w:sz w:val="22"/>
                <w:lang w:val="es-ES"/>
              </w:rPr>
              <w:t>–</w:t>
            </w:r>
            <w:r w:rsidRPr="00A61288">
              <w:rPr>
                <w:sz w:val="22"/>
                <w:lang w:val="es-ES"/>
              </w:rPr>
              <w:tab/>
              <w:t>Para una solicitud con arreglo al Artículo </w:t>
            </w:r>
            <w:r w:rsidRPr="00A61288">
              <w:rPr>
                <w:b/>
                <w:bCs/>
                <w:sz w:val="22"/>
                <w:lang w:val="es-ES"/>
              </w:rPr>
              <w:t>7</w:t>
            </w:r>
            <w:r w:rsidRPr="00A61288">
              <w:rPr>
                <w:sz w:val="22"/>
                <w:lang w:val="es-ES"/>
              </w:rPr>
              <w:t xml:space="preserve"> recibida después del 22 de noviembre de 2019, la Oficina aplicará el Anexo 3 (Rev.CMR-19) y el Anexo 4 (Rev.CMR-19).</w:t>
            </w:r>
          </w:p>
          <w:p w14:paraId="661B1FE4" w14:textId="77777777" w:rsidR="00967792" w:rsidRPr="00A61288" w:rsidRDefault="00967792" w:rsidP="00B53355">
            <w:pPr>
              <w:spacing w:before="40" w:after="40"/>
              <w:rPr>
                <w:sz w:val="22"/>
                <w:lang w:val="es-ES"/>
              </w:rPr>
            </w:pPr>
            <w:r w:rsidRPr="00A61288">
              <w:rPr>
                <w:sz w:val="22"/>
                <w:lang w:val="es-ES"/>
              </w:rPr>
              <w:t xml:space="preserve">En su examen en virtud del 6.21 c), la Oficina también tendrá en cuenta las notificaciones completas con arreglo al § 6.1 en aplicación de la Resolución </w:t>
            </w:r>
            <w:r w:rsidRPr="00A61288">
              <w:rPr>
                <w:b/>
                <w:bCs/>
                <w:sz w:val="22"/>
                <w:lang w:val="es-ES"/>
              </w:rPr>
              <w:t>[A7(E)-AP30B] (CMR-19)</w:t>
            </w:r>
            <w:r w:rsidRPr="00A61288">
              <w:rPr>
                <w:sz w:val="22"/>
                <w:lang w:val="es-ES"/>
              </w:rPr>
              <w:t xml:space="preserve"> y la solicitud del Artículo </w:t>
            </w:r>
            <w:r w:rsidRPr="00A61288">
              <w:rPr>
                <w:b/>
                <w:bCs/>
                <w:sz w:val="22"/>
                <w:lang w:val="es-ES"/>
              </w:rPr>
              <w:t>7</w:t>
            </w:r>
            <w:r w:rsidRPr="00A61288">
              <w:rPr>
                <w:sz w:val="22"/>
                <w:lang w:val="es-ES"/>
              </w:rPr>
              <w:t xml:space="preserve"> transferida al Artículo 6 con arreglo al § 7.7 que ha sido examinada antes de la fecha de recepción de la notificación examinada presentada con arreglo al § 6.1».</w:t>
            </w:r>
          </w:p>
          <w:p w14:paraId="39A368DC" w14:textId="77777777" w:rsidR="00967792" w:rsidRPr="00A61288" w:rsidRDefault="00967792" w:rsidP="00B53355">
            <w:pPr>
              <w:spacing w:before="40" w:after="40"/>
              <w:rPr>
                <w:sz w:val="22"/>
                <w:lang w:val="es-ES"/>
              </w:rPr>
            </w:pPr>
            <w:r w:rsidRPr="00A61288">
              <w:rPr>
                <w:sz w:val="22"/>
                <w:lang w:val="es-ES"/>
              </w:rPr>
              <w:t>13.8</w:t>
            </w:r>
            <w:r w:rsidRPr="00A61288">
              <w:rPr>
                <w:sz w:val="22"/>
                <w:lang w:val="es-ES"/>
              </w:rPr>
              <w:tab/>
            </w:r>
            <w:bookmarkStart w:id="121" w:name="lt_pId615"/>
            <w:r w:rsidRPr="00A61288">
              <w:rPr>
                <w:sz w:val="22"/>
                <w:lang w:val="es-ES"/>
              </w:rPr>
              <w:t xml:space="preserve">Así se </w:t>
            </w:r>
            <w:r w:rsidRPr="00A61288">
              <w:rPr>
                <w:b/>
                <w:bCs/>
                <w:sz w:val="22"/>
                <w:lang w:val="es-ES"/>
              </w:rPr>
              <w:t>acuerda</w:t>
            </w:r>
            <w:r w:rsidRPr="00A61288">
              <w:rPr>
                <w:sz w:val="22"/>
                <w:lang w:val="es-ES"/>
              </w:rPr>
              <w:t>.</w:t>
            </w:r>
            <w:bookmarkEnd w:id="121"/>
          </w:p>
          <w:p w14:paraId="2FC593D1" w14:textId="71284064" w:rsidR="00967792" w:rsidRPr="00A61288" w:rsidRDefault="00967792" w:rsidP="00B53355">
            <w:pPr>
              <w:spacing w:before="40" w:after="40"/>
              <w:rPr>
                <w:sz w:val="22"/>
                <w:lang w:val="es-ES"/>
              </w:rPr>
            </w:pPr>
            <w:r w:rsidRPr="00A61288">
              <w:rPr>
                <w:sz w:val="22"/>
                <w:lang w:val="es-ES"/>
              </w:rPr>
              <w:t>13.9</w:t>
            </w:r>
            <w:r w:rsidRPr="00A61288">
              <w:rPr>
                <w:sz w:val="22"/>
                <w:lang w:val="es-ES"/>
              </w:rPr>
              <w:tab/>
            </w:r>
            <w:bookmarkStart w:id="122" w:name="lt_pId617"/>
            <w:r w:rsidRPr="00A61288">
              <w:rPr>
                <w:sz w:val="22"/>
                <w:lang w:val="es-ES"/>
              </w:rPr>
              <w:t xml:space="preserve">Se </w:t>
            </w:r>
            <w:r w:rsidRPr="00A61288">
              <w:rPr>
                <w:b/>
                <w:bCs/>
                <w:sz w:val="22"/>
                <w:lang w:val="es-ES"/>
              </w:rPr>
              <w:t>aprueba</w:t>
            </w:r>
            <w:r w:rsidRPr="00A61288">
              <w:rPr>
                <w:sz w:val="22"/>
                <w:lang w:val="es-ES"/>
              </w:rPr>
              <w:t xml:space="preserve"> el Documento 510.</w:t>
            </w:r>
            <w:bookmarkEnd w:id="122"/>
          </w:p>
        </w:tc>
        <w:tc>
          <w:tcPr>
            <w:tcW w:w="1548" w:type="pct"/>
          </w:tcPr>
          <w:p w14:paraId="125F5BFC" w14:textId="78141C09" w:rsidR="00967792" w:rsidRPr="00D2027A" w:rsidDel="009440F5" w:rsidRDefault="00967792" w:rsidP="00B53355">
            <w:pPr>
              <w:pStyle w:val="Tabletext"/>
              <w:rPr>
                <w:rFonts w:asciiTheme="majorBidi" w:hAnsiTheme="majorBidi" w:cstheme="majorBidi"/>
                <w:szCs w:val="24"/>
                <w:lang w:val="es-ES"/>
              </w:rPr>
            </w:pPr>
            <w:r w:rsidRPr="005D7C6D">
              <w:rPr>
                <w:rFonts w:asciiTheme="majorBidi" w:hAnsiTheme="majorBidi" w:cstheme="majorBidi"/>
                <w:bCs/>
                <w:lang w:val="es-ES"/>
              </w:rPr>
              <w:lastRenderedPageBreak/>
              <w:t>La Junta decide incluir la decisión como nota en la</w:t>
            </w:r>
            <w:r>
              <w:rPr>
                <w:rFonts w:asciiTheme="majorBidi" w:hAnsiTheme="majorBidi" w:cstheme="majorBidi"/>
                <w:bCs/>
                <w:lang w:val="es-ES"/>
              </w:rPr>
              <w:t>s</w:t>
            </w:r>
            <w:r w:rsidRPr="005D7C6D">
              <w:rPr>
                <w:rFonts w:asciiTheme="majorBidi" w:hAnsiTheme="majorBidi" w:cstheme="majorBidi"/>
                <w:bCs/>
                <w:lang w:val="es-ES"/>
              </w:rPr>
              <w:t xml:space="preserve"> Regla</w:t>
            </w:r>
            <w:r>
              <w:rPr>
                <w:rFonts w:asciiTheme="majorBidi" w:hAnsiTheme="majorBidi" w:cstheme="majorBidi"/>
                <w:bCs/>
                <w:lang w:val="es-ES"/>
              </w:rPr>
              <w:t>s</w:t>
            </w:r>
            <w:r w:rsidRPr="005D7C6D">
              <w:rPr>
                <w:rFonts w:asciiTheme="majorBidi" w:hAnsiTheme="majorBidi" w:cstheme="majorBidi"/>
                <w:bCs/>
                <w:lang w:val="es-ES"/>
              </w:rPr>
              <w:t xml:space="preserve"> de Procedimiento</w:t>
            </w:r>
            <w:r>
              <w:rPr>
                <w:rFonts w:asciiTheme="majorBidi" w:hAnsiTheme="majorBidi" w:cstheme="majorBidi"/>
                <w:bCs/>
                <w:lang w:val="es-ES"/>
              </w:rPr>
              <w:t xml:space="preserve"> pertinentes</w:t>
            </w:r>
            <w:r w:rsidRPr="005D7C6D">
              <w:rPr>
                <w:rFonts w:asciiTheme="majorBidi" w:hAnsiTheme="majorBidi" w:cstheme="majorBidi"/>
                <w:bCs/>
                <w:lang w:val="es-ES"/>
              </w:rPr>
              <w:t xml:space="preserve"> correspondiente</w:t>
            </w:r>
            <w:r>
              <w:rPr>
                <w:rFonts w:asciiTheme="majorBidi" w:hAnsiTheme="majorBidi" w:cstheme="majorBidi"/>
                <w:bCs/>
                <w:lang w:val="es-ES"/>
              </w:rPr>
              <w:t>s</w:t>
            </w:r>
            <w:r w:rsidRPr="005D7C6D">
              <w:rPr>
                <w:rFonts w:asciiTheme="majorBidi" w:hAnsiTheme="majorBidi" w:cstheme="majorBidi"/>
                <w:bCs/>
                <w:lang w:val="es-ES"/>
              </w:rPr>
              <w:t xml:space="preserve"> al </w:t>
            </w:r>
            <w:r>
              <w:rPr>
                <w:rFonts w:asciiTheme="majorBidi" w:hAnsiTheme="majorBidi" w:cstheme="majorBidi"/>
                <w:bCs/>
                <w:lang w:val="es-ES"/>
              </w:rPr>
              <w:t xml:space="preserve">Apéndice </w:t>
            </w:r>
            <w:r w:rsidRPr="005D7C6D">
              <w:rPr>
                <w:rFonts w:asciiTheme="majorBidi" w:hAnsiTheme="majorBidi" w:cstheme="majorBidi"/>
                <w:b/>
                <w:lang w:val="es-ES"/>
              </w:rPr>
              <w:t>30B</w:t>
            </w:r>
            <w:r>
              <w:rPr>
                <w:rFonts w:asciiTheme="majorBidi" w:hAnsiTheme="majorBidi" w:cstheme="majorBidi"/>
                <w:bCs/>
                <w:lang w:val="es-ES"/>
              </w:rPr>
              <w:t>, Anexos 3 y 4, del</w:t>
            </w:r>
            <w:r w:rsidRPr="005D7C6D">
              <w:rPr>
                <w:rFonts w:asciiTheme="majorBidi" w:hAnsiTheme="majorBidi" w:cstheme="majorBidi"/>
                <w:bCs/>
                <w:lang w:val="es-ES"/>
              </w:rPr>
              <w:t xml:space="preserve"> RR en su 85ª reunión </w:t>
            </w:r>
            <w:r w:rsidRPr="00D2027A">
              <w:rPr>
                <w:rFonts w:asciiTheme="majorBidi" w:hAnsiTheme="majorBidi" w:cstheme="majorBidi"/>
                <w:bCs/>
                <w:lang w:val="es-ES"/>
              </w:rPr>
              <w:t>(</w:t>
            </w:r>
            <w:hyperlink r:id="rId266" w:history="1">
              <w:r w:rsidRPr="00D2027A">
                <w:rPr>
                  <w:rStyle w:val="Hyperlink"/>
                  <w:rFonts w:asciiTheme="majorBidi" w:hAnsiTheme="majorBidi" w:cstheme="majorBidi"/>
                  <w:bCs/>
                  <w:lang w:val="es-ES"/>
                </w:rPr>
                <w:t>CR/471</w:t>
              </w:r>
            </w:hyperlink>
            <w:r w:rsidRPr="00D2027A">
              <w:rPr>
                <w:rFonts w:asciiTheme="majorBidi" w:hAnsiTheme="majorBidi" w:cstheme="majorBidi"/>
                <w:bCs/>
                <w:lang w:val="es-ES"/>
              </w:rPr>
              <w:t>).</w:t>
            </w:r>
          </w:p>
        </w:tc>
      </w:tr>
      <w:tr w:rsidR="00967792" w:rsidRPr="00D2027A" w14:paraId="21C9E2AD" w14:textId="77777777" w:rsidTr="00924C8B">
        <w:trPr>
          <w:jc w:val="center"/>
        </w:trPr>
        <w:tc>
          <w:tcPr>
            <w:tcW w:w="183" w:type="pct"/>
          </w:tcPr>
          <w:p w14:paraId="1D339C57" w14:textId="76D05CAC" w:rsidR="00967792" w:rsidRPr="00A616CA" w:rsidRDefault="00967792" w:rsidP="00B53355">
            <w:pPr>
              <w:pStyle w:val="Tabletext"/>
              <w:rPr>
                <w:lang w:val="es-ES"/>
              </w:rPr>
            </w:pPr>
            <w:r w:rsidRPr="00A616CA">
              <w:rPr>
                <w:lang w:val="es-ES"/>
              </w:rPr>
              <w:lastRenderedPageBreak/>
              <w:t>82</w:t>
            </w:r>
          </w:p>
        </w:tc>
        <w:tc>
          <w:tcPr>
            <w:tcW w:w="434" w:type="pct"/>
          </w:tcPr>
          <w:p w14:paraId="60017CB6" w14:textId="2996FF7A" w:rsidR="00967792" w:rsidRPr="00A616CA" w:rsidRDefault="00967792" w:rsidP="00B53355">
            <w:pPr>
              <w:pStyle w:val="Tabletext"/>
              <w:rPr>
                <w:lang w:val="es-ES"/>
              </w:rPr>
            </w:pPr>
            <w:r w:rsidRPr="00A616CA">
              <w:rPr>
                <w:lang w:val="es-ES"/>
              </w:rPr>
              <w:t>CMR-19</w:t>
            </w:r>
          </w:p>
        </w:tc>
        <w:tc>
          <w:tcPr>
            <w:tcW w:w="523" w:type="pct"/>
          </w:tcPr>
          <w:p w14:paraId="391EA4C2" w14:textId="503B24CF" w:rsidR="00967792" w:rsidRPr="00D2027A" w:rsidRDefault="00967792" w:rsidP="00A61288">
            <w:pPr>
              <w:pStyle w:val="Tabletext"/>
              <w:rPr>
                <w:rFonts w:asciiTheme="majorBidi" w:hAnsiTheme="majorBidi" w:cstheme="majorBidi"/>
                <w:bCs/>
                <w:szCs w:val="24"/>
                <w:lang w:val="es-ES"/>
              </w:rPr>
            </w:pPr>
            <w:r w:rsidRPr="00A61288">
              <w:rPr>
                <w:lang w:val="es-ES"/>
              </w:rPr>
              <w:t>11ª</w:t>
            </w:r>
            <w:r>
              <w:rPr>
                <w:rFonts w:asciiTheme="majorBidi" w:hAnsiTheme="majorBidi" w:cstheme="majorBidi"/>
                <w:bCs/>
                <w:szCs w:val="24"/>
                <w:lang w:val="es-ES"/>
              </w:rPr>
              <w:t xml:space="preserve"> </w:t>
            </w:r>
            <w:r w:rsidR="0085397B">
              <w:rPr>
                <w:rFonts w:asciiTheme="majorBidi" w:hAnsiTheme="majorBidi" w:cstheme="majorBidi"/>
                <w:bCs/>
                <w:szCs w:val="24"/>
                <w:lang w:val="es-ES"/>
              </w:rPr>
              <w:t>Plenaria</w:t>
            </w:r>
            <w:r w:rsidR="0025704A">
              <w:rPr>
                <w:rFonts w:asciiTheme="majorBidi" w:hAnsiTheme="majorBidi" w:cstheme="majorBidi"/>
                <w:bCs/>
                <w:szCs w:val="24"/>
                <w:lang w:val="es-ES"/>
              </w:rPr>
              <w:br/>
            </w:r>
            <w:r w:rsidRPr="00D2027A">
              <w:rPr>
                <w:rFonts w:asciiTheme="majorBidi" w:hAnsiTheme="majorBidi" w:cstheme="majorBidi"/>
                <w:bCs/>
                <w:szCs w:val="24"/>
                <w:lang w:val="es-ES"/>
              </w:rPr>
              <w:t>Doc</w:t>
            </w:r>
            <w:r w:rsidR="0025704A">
              <w:rPr>
                <w:rFonts w:asciiTheme="majorBidi" w:hAnsiTheme="majorBidi" w:cstheme="majorBidi"/>
                <w:bCs/>
                <w:szCs w:val="24"/>
                <w:lang w:val="es-ES"/>
              </w:rPr>
              <w:t>.</w:t>
            </w:r>
            <w:r w:rsidRPr="00D2027A">
              <w:rPr>
                <w:rFonts w:asciiTheme="majorBidi" w:hAnsiTheme="majorBidi" w:cstheme="majorBidi"/>
                <w:bCs/>
                <w:szCs w:val="24"/>
                <w:lang w:val="es-ES"/>
              </w:rPr>
              <w:t xml:space="preserve"> </w:t>
            </w:r>
            <w:hyperlink r:id="rId267" w:history="1">
              <w:r w:rsidRPr="00D2027A">
                <w:rPr>
                  <w:rStyle w:val="Hyperlink"/>
                  <w:rFonts w:asciiTheme="majorBidi" w:hAnsiTheme="majorBidi" w:cstheme="majorBidi"/>
                  <w:bCs/>
                  <w:szCs w:val="24"/>
                  <w:lang w:val="es-ES"/>
                </w:rPr>
                <w:t>CMR19/572</w:t>
              </w:r>
            </w:hyperlink>
            <w:r w:rsidRPr="00D2027A">
              <w:rPr>
                <w:rFonts w:asciiTheme="majorBidi" w:hAnsiTheme="majorBidi" w:cstheme="majorBidi"/>
                <w:bCs/>
                <w:szCs w:val="24"/>
                <w:lang w:val="es-ES"/>
              </w:rPr>
              <w:t xml:space="preserve"> </w:t>
            </w:r>
          </w:p>
          <w:p w14:paraId="341A3A6B" w14:textId="189CFF05" w:rsidR="00967792" w:rsidRPr="00D2027A" w:rsidRDefault="00967792" w:rsidP="00A61288">
            <w:pPr>
              <w:pStyle w:val="Tabletext"/>
              <w:rPr>
                <w:rFonts w:asciiTheme="majorBidi" w:hAnsiTheme="majorBidi" w:cstheme="majorBidi"/>
                <w:bCs/>
                <w:szCs w:val="24"/>
                <w:lang w:val="es-ES"/>
              </w:rPr>
            </w:pPr>
            <w:r>
              <w:rPr>
                <w:rFonts w:asciiTheme="majorBidi" w:hAnsiTheme="majorBidi" w:cstheme="majorBidi"/>
                <w:bCs/>
                <w:szCs w:val="24"/>
                <w:lang w:val="es-ES"/>
              </w:rPr>
              <w:t xml:space="preserve">Aprobación </w:t>
            </w:r>
            <w:r w:rsidRPr="00A61288">
              <w:rPr>
                <w:lang w:val="es-ES"/>
              </w:rPr>
              <w:t>del</w:t>
            </w:r>
            <w:r>
              <w:rPr>
                <w:rFonts w:asciiTheme="majorBidi" w:hAnsiTheme="majorBidi" w:cstheme="majorBidi"/>
                <w:bCs/>
                <w:szCs w:val="24"/>
                <w:lang w:val="es-ES"/>
              </w:rPr>
              <w:t xml:space="preserve"> Documento</w:t>
            </w:r>
            <w:r w:rsidRPr="00D2027A">
              <w:rPr>
                <w:rFonts w:asciiTheme="majorBidi" w:hAnsiTheme="majorBidi" w:cstheme="majorBidi"/>
                <w:bCs/>
                <w:szCs w:val="24"/>
                <w:lang w:val="es-ES"/>
              </w:rPr>
              <w:t xml:space="preserve"> </w:t>
            </w:r>
            <w:hyperlink r:id="rId268" w:history="1">
              <w:r w:rsidRPr="00D2027A">
                <w:rPr>
                  <w:rStyle w:val="Hyperlink"/>
                  <w:rFonts w:asciiTheme="majorBidi" w:hAnsiTheme="majorBidi" w:cstheme="majorBidi"/>
                  <w:bCs/>
                  <w:szCs w:val="24"/>
                  <w:lang w:val="es-ES"/>
                </w:rPr>
                <w:t>CMR19/402</w:t>
              </w:r>
            </w:hyperlink>
          </w:p>
        </w:tc>
        <w:tc>
          <w:tcPr>
            <w:tcW w:w="2312" w:type="pct"/>
          </w:tcPr>
          <w:p w14:paraId="1FDA616B" w14:textId="09B31061" w:rsidR="00967792" w:rsidRPr="00A61288" w:rsidRDefault="00967792" w:rsidP="00B53355">
            <w:pPr>
              <w:spacing w:before="40" w:after="40"/>
              <w:rPr>
                <w:sz w:val="22"/>
                <w:lang w:val="es-ES"/>
              </w:rPr>
            </w:pPr>
            <w:r w:rsidRPr="00A61288">
              <w:rPr>
                <w:sz w:val="22"/>
                <w:lang w:val="es-ES"/>
              </w:rPr>
              <w:t>1.7</w:t>
            </w:r>
            <w:r w:rsidRPr="00A61288">
              <w:rPr>
                <w:sz w:val="22"/>
                <w:lang w:val="es-ES"/>
              </w:rPr>
              <w:tab/>
              <w:t xml:space="preserve">El </w:t>
            </w:r>
            <w:r w:rsidRPr="00A61288">
              <w:rPr>
                <w:b/>
                <w:bCs/>
                <w:sz w:val="22"/>
                <w:lang w:val="es-ES"/>
              </w:rPr>
              <w:t>Presidente</w:t>
            </w:r>
            <w:r w:rsidRPr="00A61288">
              <w:rPr>
                <w:sz w:val="22"/>
                <w:lang w:val="es-ES"/>
              </w:rPr>
              <w:t xml:space="preserve"> invita a los participantes a examinar el Documento</w:t>
            </w:r>
            <w:r w:rsidR="0085397B">
              <w:rPr>
                <w:sz w:val="22"/>
                <w:lang w:val="es-ES"/>
              </w:rPr>
              <w:t> </w:t>
            </w:r>
            <w:r w:rsidRPr="00A61288">
              <w:rPr>
                <w:sz w:val="22"/>
                <w:lang w:val="es-ES"/>
              </w:rPr>
              <w:t>402, cuyo examen se había aplazado en la novena Sesión Plenaria.</w:t>
            </w:r>
          </w:p>
          <w:p w14:paraId="17D80590" w14:textId="3C40D8E6" w:rsidR="00967792" w:rsidRPr="00A61288" w:rsidRDefault="00967792" w:rsidP="00B53355">
            <w:pPr>
              <w:spacing w:before="40" w:after="40"/>
              <w:rPr>
                <w:sz w:val="22"/>
                <w:lang w:val="es-ES"/>
              </w:rPr>
            </w:pPr>
            <w:r w:rsidRPr="00A61288">
              <w:rPr>
                <w:sz w:val="22"/>
                <w:lang w:val="es-ES"/>
              </w:rPr>
              <w:t>1.8</w:t>
            </w:r>
            <w:r w:rsidRPr="00A61288">
              <w:rPr>
                <w:sz w:val="22"/>
                <w:lang w:val="es-ES"/>
              </w:rPr>
              <w:tab/>
              <w:t xml:space="preserve">El </w:t>
            </w:r>
            <w:r w:rsidRPr="00A61288">
              <w:rPr>
                <w:b/>
                <w:bCs/>
                <w:sz w:val="22"/>
                <w:lang w:val="es-ES"/>
              </w:rPr>
              <w:t>delegado de Francia</w:t>
            </w:r>
            <w:r w:rsidRPr="00A61288">
              <w:rPr>
                <w:sz w:val="22"/>
                <w:lang w:val="es-ES"/>
              </w:rPr>
              <w:t xml:space="preserve"> declara que, tras las consultas, se propone que se apruebe la inclusión del siguiente texto en las actas de la Sesión Plenaria a modo de decisión de la Conferencia: «En lo que respecta a los radares meteorológicos, la revisión del </w:t>
            </w:r>
            <w:r w:rsidRPr="00A61288">
              <w:rPr>
                <w:i/>
                <w:iCs/>
                <w:sz w:val="22"/>
                <w:lang w:val="es-ES"/>
              </w:rPr>
              <w:t>resuelve</w:t>
            </w:r>
            <w:r w:rsidRPr="00A61288">
              <w:rPr>
                <w:sz w:val="22"/>
                <w:lang w:val="es-ES"/>
              </w:rPr>
              <w:t xml:space="preserve"> 8 de la Resolución</w:t>
            </w:r>
            <w:r w:rsidR="0085397B">
              <w:rPr>
                <w:sz w:val="22"/>
                <w:lang w:val="es-ES"/>
              </w:rPr>
              <w:t> </w:t>
            </w:r>
            <w:r w:rsidRPr="00A61288">
              <w:rPr>
                <w:b/>
                <w:bCs/>
                <w:sz w:val="22"/>
                <w:lang w:val="es-ES"/>
              </w:rPr>
              <w:t>229 (Rev.CMR-19)</w:t>
            </w:r>
            <w:r w:rsidRPr="00A61288">
              <w:rPr>
                <w:sz w:val="22"/>
                <w:lang w:val="es-ES"/>
              </w:rPr>
              <w:t>, conforme a lo convenido en el punto</w:t>
            </w:r>
            <w:r w:rsidR="00F65386">
              <w:rPr>
                <w:sz w:val="22"/>
                <w:lang w:val="es-ES"/>
              </w:rPr>
              <w:t> </w:t>
            </w:r>
            <w:r w:rsidRPr="00A61288">
              <w:rPr>
                <w:sz w:val="22"/>
                <w:lang w:val="es-ES"/>
              </w:rPr>
              <w:t xml:space="preserve">9.1 del orden del día (Tema 9.1.5) (CMR-19), se limita estrictamente a la especificación de los parámetros de la selección dinámica de frecuencias (DFS) con respecto a los cambios en los números </w:t>
            </w:r>
            <w:r w:rsidRPr="0085397B">
              <w:rPr>
                <w:b/>
                <w:bCs/>
                <w:sz w:val="22"/>
                <w:lang w:val="es-ES"/>
              </w:rPr>
              <w:t>5.447F</w:t>
            </w:r>
            <w:r w:rsidRPr="00A61288">
              <w:rPr>
                <w:sz w:val="22"/>
                <w:lang w:val="es-ES"/>
              </w:rPr>
              <w:t xml:space="preserve"> y </w:t>
            </w:r>
            <w:r w:rsidRPr="0085397B">
              <w:rPr>
                <w:b/>
                <w:bCs/>
                <w:sz w:val="22"/>
                <w:lang w:val="es-ES"/>
              </w:rPr>
              <w:t>5.450A</w:t>
            </w:r>
            <w:r w:rsidRPr="00A61288">
              <w:rPr>
                <w:sz w:val="22"/>
                <w:lang w:val="es-ES"/>
              </w:rPr>
              <w:t>».</w:t>
            </w:r>
          </w:p>
          <w:p w14:paraId="555A27EC" w14:textId="77777777" w:rsidR="00967792" w:rsidRPr="00A61288" w:rsidRDefault="00967792" w:rsidP="00B53355">
            <w:pPr>
              <w:spacing w:before="40" w:after="40"/>
              <w:rPr>
                <w:sz w:val="22"/>
                <w:lang w:val="es-ES"/>
              </w:rPr>
            </w:pPr>
            <w:r w:rsidRPr="00A61288">
              <w:rPr>
                <w:sz w:val="22"/>
                <w:lang w:val="es-ES"/>
              </w:rPr>
              <w:t>1.9</w:t>
            </w:r>
            <w:r w:rsidRPr="00A61288">
              <w:rPr>
                <w:sz w:val="22"/>
                <w:lang w:val="es-ES"/>
              </w:rPr>
              <w:tab/>
              <w:t xml:space="preserve">Así se </w:t>
            </w:r>
            <w:r w:rsidRPr="00A61288">
              <w:rPr>
                <w:b/>
                <w:bCs/>
                <w:sz w:val="22"/>
                <w:lang w:val="es-ES"/>
              </w:rPr>
              <w:t>acuerda</w:t>
            </w:r>
            <w:r w:rsidRPr="00A61288">
              <w:rPr>
                <w:sz w:val="22"/>
                <w:lang w:val="es-ES"/>
              </w:rPr>
              <w:t>.</w:t>
            </w:r>
          </w:p>
          <w:p w14:paraId="6D3FEEB7" w14:textId="2FFD309B" w:rsidR="00967792" w:rsidRPr="00A61288" w:rsidRDefault="00967792" w:rsidP="00B53355">
            <w:pPr>
              <w:spacing w:before="40" w:after="40"/>
              <w:rPr>
                <w:sz w:val="22"/>
                <w:lang w:val="es-ES"/>
              </w:rPr>
            </w:pPr>
            <w:r w:rsidRPr="00A61288">
              <w:rPr>
                <w:sz w:val="22"/>
                <w:lang w:val="es-ES"/>
              </w:rPr>
              <w:t>1.10</w:t>
            </w:r>
            <w:r w:rsidRPr="00A61288">
              <w:rPr>
                <w:sz w:val="22"/>
                <w:lang w:val="es-ES"/>
              </w:rPr>
              <w:tab/>
              <w:t xml:space="preserve">En la inteligencia de lo anterior, se </w:t>
            </w:r>
            <w:r w:rsidRPr="00A61288">
              <w:rPr>
                <w:b/>
                <w:bCs/>
                <w:sz w:val="22"/>
                <w:lang w:val="es-ES"/>
              </w:rPr>
              <w:t xml:space="preserve">aprueba </w:t>
            </w:r>
            <w:r w:rsidRPr="00A61288">
              <w:rPr>
                <w:sz w:val="22"/>
                <w:lang w:val="es-ES"/>
              </w:rPr>
              <w:t>el</w:t>
            </w:r>
            <w:r w:rsidRPr="00A61288">
              <w:rPr>
                <w:b/>
                <w:bCs/>
                <w:sz w:val="22"/>
                <w:lang w:val="es-ES"/>
              </w:rPr>
              <w:t xml:space="preserve"> </w:t>
            </w:r>
            <w:r w:rsidRPr="00A61288">
              <w:rPr>
                <w:sz w:val="22"/>
                <w:lang w:val="es-ES"/>
              </w:rPr>
              <w:t>Documento</w:t>
            </w:r>
            <w:r w:rsidR="00F65386">
              <w:rPr>
                <w:sz w:val="22"/>
                <w:lang w:val="es-ES"/>
              </w:rPr>
              <w:t> </w:t>
            </w:r>
            <w:r w:rsidRPr="00A61288">
              <w:rPr>
                <w:sz w:val="22"/>
                <w:lang w:val="es-ES"/>
              </w:rPr>
              <w:t>402.</w:t>
            </w:r>
          </w:p>
        </w:tc>
        <w:tc>
          <w:tcPr>
            <w:tcW w:w="1548" w:type="pct"/>
          </w:tcPr>
          <w:p w14:paraId="007EF6AC" w14:textId="0C14FB89" w:rsidR="00967792" w:rsidRPr="00A616CA" w:rsidDel="009440F5" w:rsidRDefault="00967792" w:rsidP="00B53355">
            <w:pPr>
              <w:pStyle w:val="Tabletext"/>
              <w:rPr>
                <w:lang w:val="es-ES"/>
              </w:rPr>
            </w:pPr>
            <w:r w:rsidRPr="00A616CA">
              <w:rPr>
                <w:lang w:val="es-ES"/>
              </w:rPr>
              <w:t>–</w:t>
            </w:r>
          </w:p>
        </w:tc>
      </w:tr>
      <w:tr w:rsidR="00967792" w:rsidRPr="00D2027A" w14:paraId="08F73953" w14:textId="77777777" w:rsidTr="00924C8B">
        <w:trPr>
          <w:jc w:val="center"/>
        </w:trPr>
        <w:tc>
          <w:tcPr>
            <w:tcW w:w="183" w:type="pct"/>
          </w:tcPr>
          <w:p w14:paraId="272048A3" w14:textId="476ABEBD" w:rsidR="00967792" w:rsidRPr="00A616CA" w:rsidRDefault="00967792" w:rsidP="00B53355">
            <w:pPr>
              <w:pStyle w:val="Tabletext"/>
              <w:rPr>
                <w:lang w:val="es-ES"/>
              </w:rPr>
            </w:pPr>
            <w:r w:rsidRPr="00A616CA">
              <w:rPr>
                <w:lang w:val="es-ES"/>
              </w:rPr>
              <w:lastRenderedPageBreak/>
              <w:t>83</w:t>
            </w:r>
          </w:p>
        </w:tc>
        <w:tc>
          <w:tcPr>
            <w:tcW w:w="434" w:type="pct"/>
          </w:tcPr>
          <w:p w14:paraId="1C8F5AC0" w14:textId="58107037" w:rsidR="00967792" w:rsidRPr="00A616CA" w:rsidRDefault="00967792" w:rsidP="00B53355">
            <w:pPr>
              <w:pStyle w:val="Tabletext"/>
              <w:rPr>
                <w:lang w:val="es-ES"/>
              </w:rPr>
            </w:pPr>
            <w:r w:rsidRPr="00A616CA">
              <w:rPr>
                <w:lang w:val="es-ES"/>
              </w:rPr>
              <w:t>CMR-19</w:t>
            </w:r>
          </w:p>
        </w:tc>
        <w:tc>
          <w:tcPr>
            <w:tcW w:w="523" w:type="pct"/>
          </w:tcPr>
          <w:p w14:paraId="172141A3" w14:textId="64B53811" w:rsidR="00967792" w:rsidRPr="00D2027A" w:rsidRDefault="00967792" w:rsidP="00A61288">
            <w:pPr>
              <w:pStyle w:val="Tabletext"/>
              <w:rPr>
                <w:rFonts w:asciiTheme="majorBidi" w:hAnsiTheme="majorBidi" w:cstheme="majorBidi"/>
                <w:bCs/>
                <w:szCs w:val="24"/>
                <w:lang w:val="es-ES"/>
              </w:rPr>
            </w:pPr>
            <w:r w:rsidRPr="00A61288">
              <w:rPr>
                <w:lang w:val="es-ES"/>
              </w:rPr>
              <w:t>12ª</w:t>
            </w:r>
            <w:r>
              <w:rPr>
                <w:rFonts w:asciiTheme="majorBidi" w:hAnsiTheme="majorBidi" w:cstheme="majorBidi"/>
                <w:bCs/>
                <w:szCs w:val="24"/>
                <w:lang w:val="es-ES"/>
              </w:rPr>
              <w:t xml:space="preserve"> </w:t>
            </w:r>
            <w:r w:rsidR="0085397B">
              <w:rPr>
                <w:rFonts w:asciiTheme="majorBidi" w:hAnsiTheme="majorBidi" w:cstheme="majorBidi"/>
                <w:bCs/>
                <w:szCs w:val="24"/>
                <w:lang w:val="es-ES"/>
              </w:rPr>
              <w:t>Plenaria</w:t>
            </w:r>
            <w:r w:rsidR="0025704A">
              <w:rPr>
                <w:rFonts w:asciiTheme="majorBidi" w:hAnsiTheme="majorBidi" w:cstheme="majorBidi"/>
                <w:bCs/>
                <w:szCs w:val="24"/>
                <w:lang w:val="es-ES"/>
              </w:rPr>
              <w:br/>
            </w:r>
            <w:r w:rsidRPr="00D2027A">
              <w:rPr>
                <w:rFonts w:asciiTheme="majorBidi" w:hAnsiTheme="majorBidi" w:cstheme="majorBidi"/>
                <w:bCs/>
                <w:szCs w:val="24"/>
                <w:lang w:val="es-ES"/>
              </w:rPr>
              <w:t xml:space="preserve">Doc. </w:t>
            </w:r>
            <w:hyperlink r:id="rId269" w:history="1">
              <w:r w:rsidRPr="00D2027A">
                <w:rPr>
                  <w:rStyle w:val="Hyperlink"/>
                  <w:rFonts w:asciiTheme="majorBidi" w:hAnsiTheme="majorBidi" w:cstheme="majorBidi"/>
                  <w:bCs/>
                  <w:szCs w:val="24"/>
                  <w:lang w:val="es-ES"/>
                </w:rPr>
                <w:t>CMR19/573</w:t>
              </w:r>
            </w:hyperlink>
          </w:p>
          <w:p w14:paraId="429940CE" w14:textId="0807E078" w:rsidR="00967792" w:rsidRPr="00D2027A" w:rsidRDefault="00967792" w:rsidP="0025704A">
            <w:pPr>
              <w:pStyle w:val="Tabletext"/>
              <w:rPr>
                <w:rFonts w:asciiTheme="majorBidi" w:hAnsiTheme="majorBidi" w:cstheme="majorBidi"/>
                <w:bCs/>
                <w:szCs w:val="24"/>
                <w:lang w:val="es-ES"/>
              </w:rPr>
            </w:pPr>
            <w:r w:rsidRPr="00A61288">
              <w:rPr>
                <w:lang w:val="es-ES"/>
              </w:rPr>
              <w:t>Aprobación</w:t>
            </w:r>
            <w:r>
              <w:rPr>
                <w:rFonts w:asciiTheme="majorBidi" w:hAnsiTheme="majorBidi" w:cstheme="majorBidi"/>
                <w:bCs/>
                <w:szCs w:val="24"/>
                <w:lang w:val="es-ES"/>
              </w:rPr>
              <w:t xml:space="preserve"> del Documento</w:t>
            </w:r>
            <w:r w:rsidRPr="00D2027A">
              <w:rPr>
                <w:rFonts w:asciiTheme="majorBidi" w:hAnsiTheme="majorBidi" w:cstheme="majorBidi"/>
                <w:bCs/>
                <w:szCs w:val="24"/>
                <w:lang w:val="es-ES"/>
              </w:rPr>
              <w:t xml:space="preserve"> </w:t>
            </w:r>
            <w:hyperlink r:id="rId270" w:history="1">
              <w:r w:rsidRPr="00D2027A">
                <w:rPr>
                  <w:rStyle w:val="Hyperlink"/>
                  <w:rFonts w:asciiTheme="majorBidi" w:hAnsiTheme="majorBidi" w:cstheme="majorBidi"/>
                  <w:bCs/>
                  <w:szCs w:val="24"/>
                  <w:lang w:val="es-ES"/>
                </w:rPr>
                <w:t>CMR19/518</w:t>
              </w:r>
              <w:r w:rsidR="0025704A">
                <w:rPr>
                  <w:rStyle w:val="Hyperlink"/>
                  <w:rFonts w:asciiTheme="majorBidi" w:hAnsiTheme="majorBidi" w:cstheme="majorBidi"/>
                  <w:bCs/>
                  <w:szCs w:val="24"/>
                  <w:lang w:val="es-ES"/>
                </w:rPr>
                <w:br/>
              </w:r>
              <w:r w:rsidRPr="00D2027A">
                <w:rPr>
                  <w:rStyle w:val="Hyperlink"/>
                  <w:rFonts w:asciiTheme="majorBidi" w:hAnsiTheme="majorBidi" w:cstheme="majorBidi"/>
                  <w:bCs/>
                  <w:szCs w:val="24"/>
                  <w:lang w:val="es-ES"/>
                </w:rPr>
                <w:t>(Corr.1)</w:t>
              </w:r>
            </w:hyperlink>
          </w:p>
        </w:tc>
        <w:tc>
          <w:tcPr>
            <w:tcW w:w="2312" w:type="pct"/>
          </w:tcPr>
          <w:p w14:paraId="3DD4E3B5" w14:textId="77777777" w:rsidR="00967792" w:rsidRPr="00A61288" w:rsidRDefault="00967792" w:rsidP="00B53355">
            <w:pPr>
              <w:spacing w:before="40" w:after="40"/>
              <w:rPr>
                <w:sz w:val="22"/>
                <w:lang w:val="es-ES"/>
              </w:rPr>
            </w:pPr>
            <w:r w:rsidRPr="00A61288">
              <w:rPr>
                <w:sz w:val="22"/>
                <w:lang w:val="es-ES"/>
              </w:rPr>
              <w:t>3.13</w:t>
            </w:r>
            <w:r w:rsidRPr="00A61288">
              <w:rPr>
                <w:sz w:val="22"/>
                <w:lang w:val="es-ES"/>
              </w:rPr>
              <w:tab/>
              <w:t xml:space="preserve">En relación con el Documento 518, el </w:t>
            </w:r>
            <w:r w:rsidRPr="00A61288">
              <w:rPr>
                <w:b/>
                <w:bCs/>
                <w:sz w:val="22"/>
                <w:lang w:val="es-ES"/>
              </w:rPr>
              <w:t>Presidente</w:t>
            </w:r>
            <w:r w:rsidRPr="00A61288">
              <w:rPr>
                <w:sz w:val="22"/>
                <w:lang w:val="es-ES"/>
              </w:rPr>
              <w:t xml:space="preserve"> recuerda que el texto del mismo fue aprobado en la décima Sesión Plenaria para su inclusión en el acta de dicha Sesión Plenaria, con la excepción del último párrafo del documento, en espera de una mayor coordinación entre Mongolia y otras administraciones afectadas. </w:t>
            </w:r>
          </w:p>
          <w:p w14:paraId="2B3076F7" w14:textId="54B55FEE" w:rsidR="00967792" w:rsidRPr="00A61288" w:rsidRDefault="00967792" w:rsidP="00B53355">
            <w:pPr>
              <w:spacing w:before="40" w:after="40"/>
              <w:rPr>
                <w:sz w:val="22"/>
                <w:lang w:val="es-ES"/>
              </w:rPr>
            </w:pPr>
            <w:r w:rsidRPr="00A61288">
              <w:rPr>
                <w:sz w:val="22"/>
                <w:lang w:val="es-ES"/>
              </w:rPr>
              <w:t>3.14</w:t>
            </w:r>
            <w:r w:rsidRPr="00A61288">
              <w:rPr>
                <w:sz w:val="22"/>
                <w:lang w:val="es-ES"/>
              </w:rPr>
              <w:tab/>
              <w:t xml:space="preserve">El </w:t>
            </w:r>
            <w:r w:rsidRPr="00A61288">
              <w:rPr>
                <w:b/>
                <w:bCs/>
                <w:sz w:val="22"/>
                <w:lang w:val="es-ES"/>
              </w:rPr>
              <w:t>Presidente de la Comisión 5</w:t>
            </w:r>
            <w:r w:rsidRPr="00A61288">
              <w:rPr>
                <w:sz w:val="22"/>
                <w:lang w:val="es-ES"/>
              </w:rPr>
              <w:t xml:space="preserve"> presenta el Documento</w:t>
            </w:r>
            <w:r w:rsidR="0085397B">
              <w:rPr>
                <w:sz w:val="22"/>
                <w:lang w:val="es-ES"/>
              </w:rPr>
              <w:t> </w:t>
            </w:r>
            <w:r w:rsidRPr="00A61288">
              <w:rPr>
                <w:sz w:val="22"/>
                <w:lang w:val="es-ES"/>
              </w:rPr>
              <w:t>518(Corr.1). Se propone sustituir el último párrafo del Documento 518 por el texto siguiente, que se incluirá en las actas de la Sesión Plenaria a modo de decisión de la Conferencia:</w:t>
            </w:r>
          </w:p>
          <w:p w14:paraId="7D509DE5" w14:textId="512FEE43" w:rsidR="00967792" w:rsidRPr="0085397B" w:rsidRDefault="00967792" w:rsidP="00B53355">
            <w:pPr>
              <w:spacing w:before="40" w:after="40"/>
              <w:rPr>
                <w:b/>
                <w:bCs/>
                <w:iCs/>
                <w:sz w:val="22"/>
                <w:lang w:val="es-ES"/>
              </w:rPr>
            </w:pPr>
            <w:r w:rsidRPr="0085397B">
              <w:rPr>
                <w:b/>
                <w:bCs/>
                <w:iCs/>
                <w:sz w:val="22"/>
                <w:lang w:val="es-ES"/>
              </w:rPr>
              <w:t>«Solicitud relativa a las redes de satélites MNG00000 y SANSAR-1 (113,6</w:t>
            </w:r>
            <w:r w:rsidR="0085397B" w:rsidRPr="0085397B">
              <w:rPr>
                <w:rFonts w:cs="Times New Roman"/>
                <w:b/>
                <w:bCs/>
                <w:iCs/>
                <w:sz w:val="22"/>
                <w:lang w:val="es-ES"/>
              </w:rPr>
              <w:t>°</w:t>
            </w:r>
            <w:r w:rsidR="0085397B" w:rsidRPr="0085397B">
              <w:rPr>
                <w:b/>
                <w:bCs/>
                <w:iCs/>
                <w:sz w:val="22"/>
                <w:lang w:val="es-ES"/>
              </w:rPr>
              <w:t> </w:t>
            </w:r>
            <w:r w:rsidRPr="0085397B">
              <w:rPr>
                <w:b/>
                <w:bCs/>
                <w:iCs/>
                <w:sz w:val="22"/>
                <w:lang w:val="es-ES"/>
              </w:rPr>
              <w:t>E)</w:t>
            </w:r>
          </w:p>
          <w:p w14:paraId="18C654ED" w14:textId="58AE0E1C" w:rsidR="00967792" w:rsidRPr="00A61288" w:rsidRDefault="00967792" w:rsidP="00B53355">
            <w:pPr>
              <w:spacing w:before="40" w:after="40"/>
              <w:rPr>
                <w:sz w:val="22"/>
                <w:lang w:val="es-ES"/>
              </w:rPr>
            </w:pPr>
            <w:r w:rsidRPr="00A61288">
              <w:rPr>
                <w:sz w:val="22"/>
                <w:lang w:val="es-ES"/>
              </w:rPr>
              <w:t>La CMR-19 consideró la solicitud específica formulada por Mongolia en el Documento 164 en relación con la situación de referencia del sistema satelital de Mongolia (113,6° E) en el Plan del SFS. La CMR</w:t>
            </w:r>
            <w:r w:rsidR="00F65386">
              <w:rPr>
                <w:sz w:val="22"/>
                <w:lang w:val="es-ES"/>
              </w:rPr>
              <w:noBreakHyphen/>
            </w:r>
            <w:r w:rsidRPr="00A61288">
              <w:rPr>
                <w:sz w:val="22"/>
                <w:lang w:val="es-ES"/>
              </w:rPr>
              <w:t>19 encarga a la Oficina de Radiocomunicaciones aplicar, en relación con las redes MNG00000 y SANSAR-1 de Mongolia, los criterios que figuran en el §</w:t>
            </w:r>
            <w:r w:rsidR="0085397B">
              <w:rPr>
                <w:sz w:val="22"/>
                <w:lang w:val="es-ES"/>
              </w:rPr>
              <w:t> </w:t>
            </w:r>
            <w:r w:rsidRPr="00A61288">
              <w:rPr>
                <w:sz w:val="22"/>
                <w:lang w:val="es-ES"/>
              </w:rPr>
              <w:t xml:space="preserve">2.1 del Anexo </w:t>
            </w:r>
            <w:r w:rsidRPr="00A61288">
              <w:rPr>
                <w:b/>
                <w:bCs/>
                <w:sz w:val="22"/>
                <w:lang w:val="es-ES"/>
              </w:rPr>
              <w:t>4</w:t>
            </w:r>
            <w:r w:rsidRPr="00A61288">
              <w:rPr>
                <w:sz w:val="22"/>
                <w:lang w:val="es-ES"/>
              </w:rPr>
              <w:t xml:space="preserve"> del Apéndice </w:t>
            </w:r>
            <w:r w:rsidRPr="00A61288">
              <w:rPr>
                <w:b/>
                <w:bCs/>
                <w:sz w:val="22"/>
                <w:lang w:val="es-ES"/>
              </w:rPr>
              <w:t>30B</w:t>
            </w:r>
            <w:r w:rsidRPr="00A61288">
              <w:rPr>
                <w:sz w:val="22"/>
                <w:lang w:val="es-ES"/>
              </w:rPr>
              <w:t xml:space="preserve"> del RR (revisado por la CMR-19) al examinar las asignaciones presentadas en el marco del § 6.17 del Apéndice</w:t>
            </w:r>
            <w:r w:rsidR="0085397B">
              <w:rPr>
                <w:sz w:val="22"/>
                <w:lang w:val="es-ES"/>
              </w:rPr>
              <w:t> </w:t>
            </w:r>
            <w:r w:rsidRPr="00A61288">
              <w:rPr>
                <w:b/>
                <w:bCs/>
                <w:sz w:val="22"/>
                <w:lang w:val="es-ES"/>
              </w:rPr>
              <w:t>30B</w:t>
            </w:r>
            <w:r w:rsidRPr="00A61288">
              <w:rPr>
                <w:sz w:val="22"/>
                <w:lang w:val="es-ES"/>
              </w:rPr>
              <w:t xml:space="preserve"> del RR después del 22 de noviembre de 2019 y en relación con las asignaciones que se presentaron en el marco del § 6.1 del Apéndice</w:t>
            </w:r>
            <w:r w:rsidR="0085397B">
              <w:rPr>
                <w:sz w:val="22"/>
                <w:lang w:val="es-ES"/>
              </w:rPr>
              <w:t> </w:t>
            </w:r>
            <w:r w:rsidRPr="00A61288">
              <w:rPr>
                <w:b/>
                <w:bCs/>
                <w:sz w:val="22"/>
                <w:lang w:val="es-ES"/>
              </w:rPr>
              <w:t>30B</w:t>
            </w:r>
            <w:r w:rsidRPr="00A61288">
              <w:rPr>
                <w:sz w:val="22"/>
                <w:lang w:val="es-ES"/>
              </w:rPr>
              <w:t xml:space="preserve"> del RR antes del 23 de noviembre de 2019».</w:t>
            </w:r>
          </w:p>
          <w:p w14:paraId="0BB4CFF5" w14:textId="77777777" w:rsidR="00967792" w:rsidRPr="00A61288" w:rsidRDefault="00967792" w:rsidP="00B53355">
            <w:pPr>
              <w:spacing w:before="40" w:after="40"/>
              <w:rPr>
                <w:sz w:val="22"/>
                <w:lang w:val="es-ES"/>
              </w:rPr>
            </w:pPr>
            <w:r w:rsidRPr="00A61288">
              <w:rPr>
                <w:sz w:val="22"/>
                <w:lang w:val="es-ES"/>
              </w:rPr>
              <w:t>3.15</w:t>
            </w:r>
            <w:r w:rsidRPr="00A61288">
              <w:rPr>
                <w:sz w:val="22"/>
                <w:lang w:val="es-ES"/>
              </w:rPr>
              <w:tab/>
              <w:t xml:space="preserve">Así se </w:t>
            </w:r>
            <w:r w:rsidRPr="00A61288">
              <w:rPr>
                <w:b/>
                <w:bCs/>
                <w:sz w:val="22"/>
                <w:lang w:val="es-ES"/>
              </w:rPr>
              <w:t>acuerda</w:t>
            </w:r>
            <w:r w:rsidRPr="00A61288">
              <w:rPr>
                <w:sz w:val="22"/>
                <w:lang w:val="es-ES"/>
              </w:rPr>
              <w:t>.</w:t>
            </w:r>
          </w:p>
          <w:p w14:paraId="0C57FC80" w14:textId="73D31EDB" w:rsidR="00967792" w:rsidRPr="00A61288" w:rsidRDefault="00967792" w:rsidP="00B53355">
            <w:pPr>
              <w:spacing w:before="40" w:after="40"/>
              <w:rPr>
                <w:sz w:val="22"/>
                <w:lang w:val="es-ES"/>
              </w:rPr>
            </w:pPr>
            <w:r w:rsidRPr="00A61288">
              <w:rPr>
                <w:sz w:val="22"/>
                <w:lang w:val="es-ES"/>
              </w:rPr>
              <w:t>3.16</w:t>
            </w:r>
            <w:r w:rsidRPr="00A61288">
              <w:rPr>
                <w:sz w:val="22"/>
                <w:lang w:val="es-ES"/>
              </w:rPr>
              <w:tab/>
              <w:t xml:space="preserve">Se </w:t>
            </w:r>
            <w:r w:rsidRPr="00A61288">
              <w:rPr>
                <w:b/>
                <w:bCs/>
                <w:sz w:val="22"/>
                <w:lang w:val="es-ES"/>
              </w:rPr>
              <w:t xml:space="preserve">aprueba </w:t>
            </w:r>
            <w:r w:rsidRPr="00A61288">
              <w:rPr>
                <w:sz w:val="22"/>
                <w:lang w:val="es-ES"/>
              </w:rPr>
              <w:t>el Documento 518(Corr.1).</w:t>
            </w:r>
          </w:p>
        </w:tc>
        <w:tc>
          <w:tcPr>
            <w:tcW w:w="1548" w:type="pct"/>
          </w:tcPr>
          <w:p w14:paraId="5B989E21" w14:textId="57F210DE" w:rsidR="00967792" w:rsidRPr="00A616CA" w:rsidDel="009440F5" w:rsidRDefault="00967792" w:rsidP="00B53355">
            <w:pPr>
              <w:pStyle w:val="Tabletext"/>
              <w:rPr>
                <w:lang w:val="es-ES"/>
              </w:rPr>
            </w:pPr>
            <w:r w:rsidRPr="00A616CA">
              <w:rPr>
                <w:lang w:val="es-ES"/>
              </w:rPr>
              <w:t>–</w:t>
            </w:r>
          </w:p>
        </w:tc>
      </w:tr>
      <w:tr w:rsidR="00967792" w:rsidRPr="00D2027A" w14:paraId="223A878E" w14:textId="77777777" w:rsidTr="00924C8B">
        <w:trPr>
          <w:jc w:val="center"/>
        </w:trPr>
        <w:tc>
          <w:tcPr>
            <w:tcW w:w="183" w:type="pct"/>
          </w:tcPr>
          <w:p w14:paraId="0A2FEECD" w14:textId="107579EE" w:rsidR="00967792" w:rsidRPr="00A616CA" w:rsidRDefault="00967792" w:rsidP="00B53355">
            <w:pPr>
              <w:pStyle w:val="Tabletext"/>
              <w:rPr>
                <w:lang w:val="es-ES"/>
              </w:rPr>
            </w:pPr>
            <w:r w:rsidRPr="00A616CA">
              <w:rPr>
                <w:lang w:val="es-ES"/>
              </w:rPr>
              <w:t>84</w:t>
            </w:r>
          </w:p>
        </w:tc>
        <w:tc>
          <w:tcPr>
            <w:tcW w:w="434" w:type="pct"/>
          </w:tcPr>
          <w:p w14:paraId="6BE8D73B" w14:textId="72481224" w:rsidR="00967792" w:rsidRPr="00A616CA" w:rsidRDefault="00967792" w:rsidP="00B53355">
            <w:pPr>
              <w:pStyle w:val="Tabletext"/>
              <w:rPr>
                <w:lang w:val="es-ES"/>
              </w:rPr>
            </w:pPr>
            <w:r w:rsidRPr="00A616CA">
              <w:rPr>
                <w:lang w:val="es-ES"/>
              </w:rPr>
              <w:t>CMR-19</w:t>
            </w:r>
          </w:p>
        </w:tc>
        <w:tc>
          <w:tcPr>
            <w:tcW w:w="523" w:type="pct"/>
          </w:tcPr>
          <w:p w14:paraId="1CB81901" w14:textId="3BD2C01E" w:rsidR="00967792" w:rsidRPr="00D2027A" w:rsidRDefault="00967792" w:rsidP="00A61288">
            <w:pPr>
              <w:pStyle w:val="Tabletext"/>
              <w:rPr>
                <w:rFonts w:asciiTheme="majorBidi" w:hAnsiTheme="majorBidi" w:cstheme="majorBidi"/>
                <w:bCs/>
                <w:szCs w:val="24"/>
                <w:lang w:val="es-ES"/>
              </w:rPr>
            </w:pPr>
            <w:r w:rsidRPr="00D2027A">
              <w:rPr>
                <w:rFonts w:asciiTheme="majorBidi" w:hAnsiTheme="majorBidi" w:cstheme="majorBidi"/>
                <w:bCs/>
                <w:szCs w:val="24"/>
                <w:lang w:val="es-ES"/>
              </w:rPr>
              <w:t>12</w:t>
            </w:r>
            <w:r>
              <w:rPr>
                <w:rFonts w:asciiTheme="majorBidi" w:hAnsiTheme="majorBidi" w:cstheme="majorBidi"/>
                <w:bCs/>
                <w:szCs w:val="24"/>
                <w:lang w:val="es-ES"/>
              </w:rPr>
              <w:t xml:space="preserve">ª </w:t>
            </w:r>
            <w:r w:rsidR="0085397B">
              <w:rPr>
                <w:rFonts w:asciiTheme="majorBidi" w:hAnsiTheme="majorBidi" w:cstheme="majorBidi"/>
                <w:bCs/>
                <w:szCs w:val="24"/>
                <w:lang w:val="es-ES"/>
              </w:rPr>
              <w:t>Plenaria</w:t>
            </w:r>
            <w:r w:rsidR="0025704A">
              <w:rPr>
                <w:rFonts w:asciiTheme="majorBidi" w:hAnsiTheme="majorBidi" w:cstheme="majorBidi"/>
                <w:bCs/>
                <w:szCs w:val="24"/>
                <w:lang w:val="es-ES"/>
              </w:rPr>
              <w:br/>
            </w:r>
            <w:r w:rsidRPr="00D2027A">
              <w:rPr>
                <w:rFonts w:asciiTheme="majorBidi" w:hAnsiTheme="majorBidi" w:cstheme="majorBidi"/>
                <w:bCs/>
                <w:szCs w:val="24"/>
                <w:lang w:val="es-ES"/>
              </w:rPr>
              <w:t>Doc</w:t>
            </w:r>
            <w:r w:rsidR="0025704A">
              <w:rPr>
                <w:rFonts w:asciiTheme="majorBidi" w:hAnsiTheme="majorBidi" w:cstheme="majorBidi"/>
                <w:bCs/>
                <w:szCs w:val="24"/>
                <w:lang w:val="es-ES"/>
              </w:rPr>
              <w:t>.</w:t>
            </w:r>
            <w:r w:rsidRPr="00D2027A">
              <w:rPr>
                <w:rFonts w:asciiTheme="majorBidi" w:hAnsiTheme="majorBidi" w:cstheme="majorBidi"/>
                <w:bCs/>
                <w:szCs w:val="24"/>
                <w:lang w:val="es-ES"/>
              </w:rPr>
              <w:t xml:space="preserve"> </w:t>
            </w:r>
            <w:hyperlink r:id="rId271" w:history="1">
              <w:r w:rsidRPr="00D2027A">
                <w:rPr>
                  <w:rStyle w:val="Hyperlink"/>
                  <w:rFonts w:asciiTheme="majorBidi" w:hAnsiTheme="majorBidi" w:cstheme="majorBidi"/>
                  <w:bCs/>
                  <w:szCs w:val="24"/>
                  <w:lang w:val="es-ES"/>
                </w:rPr>
                <w:t>CMR19/573</w:t>
              </w:r>
            </w:hyperlink>
          </w:p>
          <w:p w14:paraId="5E95EB71" w14:textId="313B1EBB" w:rsidR="00967792" w:rsidRPr="00D2027A" w:rsidRDefault="00967792" w:rsidP="00A61288">
            <w:pPr>
              <w:pStyle w:val="Tabletext"/>
              <w:rPr>
                <w:rFonts w:asciiTheme="majorBidi" w:hAnsiTheme="majorBidi" w:cstheme="majorBidi"/>
                <w:bCs/>
                <w:szCs w:val="24"/>
                <w:lang w:val="es-ES"/>
              </w:rPr>
            </w:pPr>
            <w:r w:rsidRPr="00A61288">
              <w:rPr>
                <w:lang w:val="es-ES"/>
              </w:rPr>
              <w:t>Aprobación</w:t>
            </w:r>
            <w:r>
              <w:rPr>
                <w:rFonts w:asciiTheme="majorBidi" w:hAnsiTheme="majorBidi" w:cstheme="majorBidi"/>
                <w:bCs/>
                <w:szCs w:val="24"/>
                <w:lang w:val="es-ES"/>
              </w:rPr>
              <w:t xml:space="preserve"> del</w:t>
            </w:r>
            <w:r w:rsidRPr="00D2027A">
              <w:rPr>
                <w:rFonts w:asciiTheme="majorBidi" w:hAnsiTheme="majorBidi" w:cstheme="majorBidi"/>
                <w:bCs/>
                <w:szCs w:val="24"/>
                <w:lang w:val="es-ES"/>
              </w:rPr>
              <w:t xml:space="preserve"> Doc. </w:t>
            </w:r>
            <w:hyperlink r:id="rId272" w:history="1">
              <w:r w:rsidRPr="00D2027A">
                <w:rPr>
                  <w:rStyle w:val="Hyperlink"/>
                  <w:rFonts w:asciiTheme="majorBidi" w:hAnsiTheme="majorBidi" w:cstheme="majorBidi"/>
                  <w:bCs/>
                  <w:szCs w:val="24"/>
                  <w:lang w:val="es-ES"/>
                </w:rPr>
                <w:t>CMR19/518</w:t>
              </w:r>
              <w:r w:rsidR="0025704A">
                <w:rPr>
                  <w:rStyle w:val="Hyperlink"/>
                  <w:rFonts w:asciiTheme="majorBidi" w:hAnsiTheme="majorBidi" w:cstheme="majorBidi"/>
                  <w:bCs/>
                  <w:szCs w:val="24"/>
                  <w:lang w:val="es-ES"/>
                </w:rPr>
                <w:br/>
              </w:r>
              <w:r w:rsidRPr="00D2027A">
                <w:rPr>
                  <w:rStyle w:val="Hyperlink"/>
                  <w:rFonts w:asciiTheme="majorBidi" w:hAnsiTheme="majorBidi" w:cstheme="majorBidi"/>
                  <w:bCs/>
                  <w:szCs w:val="24"/>
                  <w:lang w:val="es-ES"/>
                </w:rPr>
                <w:t>(Corr.2)</w:t>
              </w:r>
            </w:hyperlink>
          </w:p>
        </w:tc>
        <w:tc>
          <w:tcPr>
            <w:tcW w:w="2312" w:type="pct"/>
          </w:tcPr>
          <w:p w14:paraId="622CF975" w14:textId="07E5938E" w:rsidR="00967792" w:rsidRPr="00A61288" w:rsidRDefault="00967792" w:rsidP="00B53355">
            <w:pPr>
              <w:spacing w:before="40" w:after="40"/>
              <w:rPr>
                <w:sz w:val="22"/>
                <w:lang w:val="es-ES"/>
              </w:rPr>
            </w:pPr>
            <w:r w:rsidRPr="00A61288">
              <w:rPr>
                <w:sz w:val="22"/>
                <w:lang w:val="es-ES"/>
              </w:rPr>
              <w:t>3.17</w:t>
            </w:r>
            <w:r w:rsidRPr="00A61288">
              <w:rPr>
                <w:sz w:val="22"/>
                <w:lang w:val="es-ES"/>
              </w:rPr>
              <w:tab/>
              <w:t xml:space="preserve">El </w:t>
            </w:r>
            <w:r w:rsidRPr="00A61288">
              <w:rPr>
                <w:b/>
                <w:bCs/>
                <w:sz w:val="22"/>
                <w:lang w:val="es-ES"/>
              </w:rPr>
              <w:t>Presidente de la Comisión 5</w:t>
            </w:r>
            <w:r w:rsidRPr="00A61288">
              <w:rPr>
                <w:sz w:val="22"/>
                <w:lang w:val="es-ES"/>
              </w:rPr>
              <w:t xml:space="preserve"> presenta el Documento</w:t>
            </w:r>
            <w:r w:rsidR="0085397B">
              <w:rPr>
                <w:sz w:val="22"/>
                <w:lang w:val="es-ES"/>
              </w:rPr>
              <w:t> </w:t>
            </w:r>
            <w:r w:rsidRPr="00A61288">
              <w:rPr>
                <w:sz w:val="22"/>
                <w:lang w:val="es-ES"/>
              </w:rPr>
              <w:t>518(Corr.2), en el que se propone aprobar el siguiente texto adicional e incluirlo en las actas de la Sesión Plenaria a modo de decisión de la Conferencia:</w:t>
            </w:r>
          </w:p>
          <w:p w14:paraId="726AF8D5" w14:textId="77777777" w:rsidR="00967792" w:rsidRPr="000D6EC0" w:rsidRDefault="00967792" w:rsidP="00B53355">
            <w:pPr>
              <w:spacing w:before="40" w:after="40"/>
              <w:rPr>
                <w:b/>
                <w:bCs/>
                <w:iCs/>
                <w:sz w:val="22"/>
                <w:lang w:val="es-ES"/>
              </w:rPr>
            </w:pPr>
            <w:r w:rsidRPr="000D6EC0">
              <w:rPr>
                <w:b/>
                <w:bCs/>
                <w:iCs/>
                <w:sz w:val="22"/>
                <w:lang w:val="es-ES"/>
              </w:rPr>
              <w:t>«Solicitud relativa a la red de satélites PSN-146E (146° E)</w:t>
            </w:r>
          </w:p>
          <w:p w14:paraId="0CD902D6" w14:textId="0B869758" w:rsidR="00967792" w:rsidRPr="00A61288" w:rsidRDefault="00967792" w:rsidP="00B53355">
            <w:pPr>
              <w:spacing w:before="40" w:after="40"/>
              <w:rPr>
                <w:sz w:val="22"/>
                <w:lang w:val="es-ES"/>
              </w:rPr>
            </w:pPr>
            <w:r w:rsidRPr="00A61288">
              <w:rPr>
                <w:sz w:val="22"/>
                <w:lang w:val="es-ES"/>
              </w:rPr>
              <w:t xml:space="preserve">La CMR-19 consideró la solicitud específica formulada por Indonesia en el Documento 35(Add.25) en relación con la prórroga del plazo reglamentario para la puesta en servicio de las asignaciones de frecuencias a la red de satélites PSN-146E (146° E) en las bandas de </w:t>
            </w:r>
            <w:r w:rsidRPr="00A61288">
              <w:rPr>
                <w:sz w:val="22"/>
                <w:lang w:val="es-ES"/>
              </w:rPr>
              <w:lastRenderedPageBreak/>
              <w:t>frecuencias 17,7</w:t>
            </w:r>
            <w:r w:rsidR="00451CEF">
              <w:rPr>
                <w:sz w:val="22"/>
                <w:lang w:val="es-ES"/>
              </w:rPr>
              <w:noBreakHyphen/>
            </w:r>
            <w:r w:rsidRPr="00A61288">
              <w:rPr>
                <w:sz w:val="22"/>
                <w:lang w:val="es-ES"/>
              </w:rPr>
              <w:t>21,2 GHz y 27,0-31,0 GHz del 25 de octubre de 2019 al 31 de marzo de 2023. La CMR-19 accedió a conceder esta prórroga limitada tras confirmar que se había completado para esta red de satélites toda la coordinación de frecuencias solicitada por otras administraciones durante la CMR-19.</w:t>
            </w:r>
          </w:p>
          <w:p w14:paraId="7C4E7E2A" w14:textId="77777777" w:rsidR="00967792" w:rsidRPr="000D6EC0" w:rsidRDefault="00967792" w:rsidP="00B53355">
            <w:pPr>
              <w:spacing w:before="40" w:after="40"/>
              <w:rPr>
                <w:b/>
                <w:bCs/>
                <w:iCs/>
                <w:sz w:val="22"/>
                <w:lang w:val="es-ES"/>
              </w:rPr>
            </w:pPr>
            <w:r w:rsidRPr="000D6EC0">
              <w:rPr>
                <w:b/>
                <w:bCs/>
                <w:iCs/>
                <w:sz w:val="22"/>
                <w:lang w:val="es-ES"/>
              </w:rPr>
              <w:t>Solicitud relativa a la red de satélites GARUDA-2 (123° E)</w:t>
            </w:r>
          </w:p>
          <w:p w14:paraId="6A4B1AD3" w14:textId="77777777" w:rsidR="00967792" w:rsidRPr="00A61288" w:rsidRDefault="00967792" w:rsidP="00B53355">
            <w:pPr>
              <w:spacing w:before="40" w:after="40"/>
              <w:rPr>
                <w:sz w:val="22"/>
                <w:lang w:val="es-ES"/>
              </w:rPr>
            </w:pPr>
            <w:r w:rsidRPr="00A61288">
              <w:rPr>
                <w:sz w:val="22"/>
                <w:lang w:val="es-ES"/>
              </w:rPr>
              <w:t>La CMR-19 consideró la solicitud específica formulada por Indonesia en el Documento 35(Add.25) en relación con la prórroga del plazo reglamentario para la puesta en servicio de las asignaciones de frecuencias a la red de satélites GARUDA-2 (123° E) en las bandas de frecuencias 1 530</w:t>
            </w:r>
            <w:r w:rsidRPr="00A61288">
              <w:rPr>
                <w:sz w:val="22"/>
                <w:lang w:val="es-ES"/>
              </w:rPr>
              <w:noBreakHyphen/>
              <w:t>1 559 MHz, 1 626,5-1 660,5 MHz del 1 de noviembre de 2020 al 1 de noviembre de 2024. La CMR-19 accedió a conceder esta prórroga y la continuidad de la inclusión de las asignaciones de frecuencias de GARUDA-2 en el Registro. Ambas decisiones están condicionadas a la adhesión de Indonesia al acuerdo de coordinación alcanzado con los Emiratos Árabes Unidos. Además, la CMR-19 confirmó que se había completado para esta red de satélites toda la coordinación de frecuencias solicitada por otras administraciones durante la CMR-19».</w:t>
            </w:r>
          </w:p>
          <w:p w14:paraId="5E50FD5F" w14:textId="77777777" w:rsidR="00967792" w:rsidRPr="00A61288" w:rsidRDefault="00967792" w:rsidP="00B53355">
            <w:pPr>
              <w:spacing w:before="40" w:after="40"/>
              <w:rPr>
                <w:sz w:val="22"/>
                <w:lang w:val="es-ES"/>
              </w:rPr>
            </w:pPr>
            <w:r w:rsidRPr="00A61288">
              <w:rPr>
                <w:sz w:val="22"/>
                <w:lang w:val="es-ES"/>
              </w:rPr>
              <w:t>3.18</w:t>
            </w:r>
            <w:r w:rsidRPr="00A61288">
              <w:rPr>
                <w:sz w:val="22"/>
                <w:lang w:val="es-ES"/>
              </w:rPr>
              <w:tab/>
              <w:t xml:space="preserve">Así se </w:t>
            </w:r>
            <w:r w:rsidRPr="00A61288">
              <w:rPr>
                <w:b/>
                <w:bCs/>
                <w:sz w:val="22"/>
                <w:lang w:val="es-ES"/>
              </w:rPr>
              <w:t>acuerda</w:t>
            </w:r>
            <w:r w:rsidRPr="00A61288">
              <w:rPr>
                <w:sz w:val="22"/>
                <w:lang w:val="es-ES"/>
              </w:rPr>
              <w:t>.</w:t>
            </w:r>
          </w:p>
          <w:p w14:paraId="641514DA" w14:textId="77777777" w:rsidR="00967792" w:rsidRPr="00A61288" w:rsidRDefault="00967792" w:rsidP="00B53355">
            <w:pPr>
              <w:spacing w:before="40" w:after="40"/>
              <w:rPr>
                <w:sz w:val="22"/>
                <w:lang w:val="es-ES"/>
              </w:rPr>
            </w:pPr>
            <w:r w:rsidRPr="00A61288">
              <w:rPr>
                <w:sz w:val="22"/>
                <w:lang w:val="es-ES"/>
              </w:rPr>
              <w:t>3.19</w:t>
            </w:r>
            <w:r w:rsidRPr="00A61288">
              <w:rPr>
                <w:sz w:val="22"/>
                <w:lang w:val="es-ES"/>
              </w:rPr>
              <w:tab/>
              <w:t xml:space="preserve">Se </w:t>
            </w:r>
            <w:r w:rsidRPr="00A61288">
              <w:rPr>
                <w:b/>
                <w:bCs/>
                <w:sz w:val="22"/>
                <w:lang w:val="es-ES"/>
              </w:rPr>
              <w:t xml:space="preserve">aprueba </w:t>
            </w:r>
            <w:r w:rsidRPr="00A61288">
              <w:rPr>
                <w:sz w:val="22"/>
                <w:lang w:val="es-ES"/>
              </w:rPr>
              <w:t>el Documento 518(Corr.2).</w:t>
            </w:r>
          </w:p>
          <w:p w14:paraId="38763561" w14:textId="3280B5C9" w:rsidR="00967792" w:rsidRPr="00A61288" w:rsidRDefault="00967792" w:rsidP="00B53355">
            <w:pPr>
              <w:spacing w:before="40" w:after="40"/>
              <w:rPr>
                <w:sz w:val="22"/>
                <w:lang w:val="es-ES"/>
              </w:rPr>
            </w:pPr>
            <w:r w:rsidRPr="00A61288">
              <w:rPr>
                <w:sz w:val="22"/>
                <w:lang w:val="es-ES"/>
              </w:rPr>
              <w:t>3.20</w:t>
            </w:r>
            <w:r w:rsidRPr="00A61288">
              <w:rPr>
                <w:sz w:val="22"/>
                <w:lang w:val="es-ES"/>
              </w:rPr>
              <w:tab/>
              <w:t xml:space="preserve">El </w:t>
            </w:r>
            <w:r w:rsidRPr="00A61288">
              <w:rPr>
                <w:b/>
                <w:bCs/>
                <w:sz w:val="22"/>
                <w:lang w:val="es-ES"/>
              </w:rPr>
              <w:t>delegado de Indonesia</w:t>
            </w:r>
            <w:r w:rsidRPr="00A61288">
              <w:rPr>
                <w:sz w:val="22"/>
                <w:lang w:val="es-ES"/>
              </w:rPr>
              <w:t xml:space="preserve"> manifiesta su agradecimiento a la Conferencia por haber accedido a su solicitud con respecto a las redes de satélites PSN-146E (146° E) y GARUDA-2 (123° E), que revisten gran importancia para proporcionar conectividad en su país, en particular a las islas remotas y a las zonas rurales. Agrade a las Administraciones de Australia, Emiratos Árabes Unidos, República Islámica del Irán, China, Luxemburgo, Malasia, Samoa, Sudáfrica, Reino Unido, Francia y Federación de Rusia, así como otras administraciones, por su cooperación y apoyo. También agradece la ayuda prestada por el Presidente, el Presidente de la Comisión 5, el Presidente del Grupo de Trabajo 5B y el Presidente del Subgrupo de Trabajo 5B1, el Director de la BR, el personal de la UIT y los miembros de la Junta del Reglamento de Radiocomunicaciones.</w:t>
            </w:r>
          </w:p>
        </w:tc>
        <w:tc>
          <w:tcPr>
            <w:tcW w:w="1548" w:type="pct"/>
          </w:tcPr>
          <w:p w14:paraId="26ABA736" w14:textId="07EA9224" w:rsidR="00967792" w:rsidRPr="00D2027A" w:rsidDel="009440F5" w:rsidRDefault="00967792" w:rsidP="00B53355">
            <w:pPr>
              <w:pStyle w:val="Tabletext"/>
              <w:rPr>
                <w:rFonts w:asciiTheme="majorBidi" w:hAnsiTheme="majorBidi" w:cstheme="majorBidi"/>
                <w:szCs w:val="24"/>
                <w:lang w:val="es-ES"/>
              </w:rPr>
            </w:pPr>
            <w:r w:rsidRPr="001C59E4">
              <w:rPr>
                <w:rFonts w:asciiTheme="majorBidi" w:hAnsiTheme="majorBidi" w:cstheme="majorBidi"/>
                <w:bCs/>
                <w:lang w:val="es-ES"/>
              </w:rPr>
              <w:lastRenderedPageBreak/>
              <w:t xml:space="preserve">En su 85ª reunión, la Junta recibe una </w:t>
            </w:r>
            <w:r>
              <w:rPr>
                <w:rFonts w:asciiTheme="majorBidi" w:hAnsiTheme="majorBidi" w:cstheme="majorBidi"/>
                <w:bCs/>
                <w:lang w:val="es-ES"/>
              </w:rPr>
              <w:t>notificación</w:t>
            </w:r>
            <w:r w:rsidRPr="001C59E4">
              <w:rPr>
                <w:rFonts w:asciiTheme="majorBidi" w:hAnsiTheme="majorBidi" w:cstheme="majorBidi"/>
                <w:bCs/>
                <w:lang w:val="es-ES"/>
              </w:rPr>
              <w:t xml:space="preserve"> de la Administración de </w:t>
            </w:r>
            <w:r>
              <w:rPr>
                <w:rFonts w:asciiTheme="majorBidi" w:hAnsiTheme="majorBidi" w:cstheme="majorBidi"/>
                <w:bCs/>
                <w:lang w:val="es-ES"/>
              </w:rPr>
              <w:t>Indonesia</w:t>
            </w:r>
            <w:r w:rsidRPr="001C59E4">
              <w:rPr>
                <w:rFonts w:asciiTheme="majorBidi" w:hAnsiTheme="majorBidi" w:cstheme="majorBidi"/>
                <w:bCs/>
                <w:lang w:val="es-ES"/>
              </w:rPr>
              <w:t xml:space="preserve"> en la que se solicita una prórroga del plazo reglamentario para la puesta en </w:t>
            </w:r>
            <w:r w:rsidRPr="00A616CA">
              <w:rPr>
                <w:lang w:val="es-ES"/>
              </w:rPr>
              <w:t>servicio</w:t>
            </w:r>
            <w:r w:rsidRPr="001C59E4">
              <w:rPr>
                <w:rFonts w:asciiTheme="majorBidi" w:hAnsiTheme="majorBidi" w:cstheme="majorBidi"/>
                <w:bCs/>
                <w:lang w:val="es-ES"/>
              </w:rPr>
              <w:t xml:space="preserve"> de las asignaciones de frecuencia</w:t>
            </w:r>
            <w:r>
              <w:rPr>
                <w:rFonts w:asciiTheme="majorBidi" w:hAnsiTheme="majorBidi" w:cstheme="majorBidi"/>
                <w:bCs/>
                <w:lang w:val="es-ES"/>
              </w:rPr>
              <w:t>s</w:t>
            </w:r>
            <w:r w:rsidRPr="001C59E4">
              <w:rPr>
                <w:rFonts w:asciiTheme="majorBidi" w:hAnsiTheme="majorBidi" w:cstheme="majorBidi"/>
                <w:bCs/>
                <w:lang w:val="es-ES"/>
              </w:rPr>
              <w:t xml:space="preserve"> a las redes de satélites </w:t>
            </w:r>
            <w:r w:rsidRPr="00507C65">
              <w:rPr>
                <w:rFonts w:asciiTheme="majorBidi" w:hAnsiTheme="majorBidi" w:cstheme="majorBidi"/>
                <w:bCs/>
                <w:lang w:val="es-ES"/>
              </w:rPr>
              <w:t>PSN-146E en las bandas 17,7</w:t>
            </w:r>
            <w:r w:rsidR="000D6EC0">
              <w:rPr>
                <w:rFonts w:asciiTheme="majorBidi" w:hAnsiTheme="majorBidi" w:cstheme="majorBidi"/>
                <w:bCs/>
                <w:lang w:val="es-ES"/>
              </w:rPr>
              <w:noBreakHyphen/>
            </w:r>
            <w:r w:rsidRPr="00507C65">
              <w:rPr>
                <w:rFonts w:asciiTheme="majorBidi" w:hAnsiTheme="majorBidi" w:cstheme="majorBidi"/>
                <w:bCs/>
                <w:lang w:val="es-ES"/>
              </w:rPr>
              <w:t>21,2/27</w:t>
            </w:r>
            <w:r w:rsidR="000D6EC0">
              <w:rPr>
                <w:rFonts w:asciiTheme="majorBidi" w:hAnsiTheme="majorBidi" w:cstheme="majorBidi"/>
                <w:bCs/>
                <w:lang w:val="es-ES"/>
              </w:rPr>
              <w:noBreakHyphen/>
            </w:r>
            <w:r w:rsidRPr="00507C65">
              <w:rPr>
                <w:rFonts w:asciiTheme="majorBidi" w:hAnsiTheme="majorBidi" w:cstheme="majorBidi"/>
                <w:bCs/>
                <w:lang w:val="es-ES"/>
              </w:rPr>
              <w:t>31</w:t>
            </w:r>
            <w:r w:rsidR="000D6EC0">
              <w:rPr>
                <w:rFonts w:asciiTheme="majorBidi" w:hAnsiTheme="majorBidi" w:cstheme="majorBidi"/>
                <w:bCs/>
                <w:lang w:val="es-ES"/>
              </w:rPr>
              <w:t> </w:t>
            </w:r>
            <w:r w:rsidRPr="00507C65">
              <w:rPr>
                <w:rFonts w:asciiTheme="majorBidi" w:hAnsiTheme="majorBidi" w:cstheme="majorBidi"/>
                <w:bCs/>
                <w:lang w:val="es-ES"/>
              </w:rPr>
              <w:t xml:space="preserve">GHz </w:t>
            </w:r>
            <w:r>
              <w:rPr>
                <w:rFonts w:asciiTheme="majorBidi" w:hAnsiTheme="majorBidi" w:cstheme="majorBidi"/>
                <w:bCs/>
                <w:lang w:val="es-ES"/>
              </w:rPr>
              <w:t>como consecuencia de</w:t>
            </w:r>
            <w:r w:rsidRPr="00507C65">
              <w:rPr>
                <w:rFonts w:asciiTheme="majorBidi" w:hAnsiTheme="majorBidi" w:cstheme="majorBidi"/>
                <w:bCs/>
                <w:lang w:val="es-ES"/>
              </w:rPr>
              <w:t xml:space="preserve"> un caso de fuerza mayor </w:t>
            </w:r>
            <w:r>
              <w:rPr>
                <w:rFonts w:asciiTheme="majorBidi" w:hAnsiTheme="majorBidi" w:cstheme="majorBidi"/>
                <w:bCs/>
                <w:lang w:val="es-ES"/>
              </w:rPr>
              <w:t>a raíz de</w:t>
            </w:r>
            <w:r w:rsidRPr="00507C65">
              <w:rPr>
                <w:rFonts w:asciiTheme="majorBidi" w:hAnsiTheme="majorBidi" w:cstheme="majorBidi"/>
                <w:bCs/>
                <w:lang w:val="es-ES"/>
              </w:rPr>
              <w:t xml:space="preserve"> la pandemia </w:t>
            </w:r>
            <w:r>
              <w:rPr>
                <w:rFonts w:asciiTheme="majorBidi" w:hAnsiTheme="majorBidi" w:cstheme="majorBidi"/>
                <w:bCs/>
                <w:lang w:val="es-ES"/>
              </w:rPr>
              <w:t xml:space="preserve">de </w:t>
            </w:r>
            <w:r w:rsidRPr="00507C65">
              <w:rPr>
                <w:rFonts w:asciiTheme="majorBidi" w:hAnsiTheme="majorBidi" w:cstheme="majorBidi"/>
                <w:bCs/>
                <w:lang w:val="es-ES"/>
              </w:rPr>
              <w:t>COVID-19</w:t>
            </w:r>
            <w:r w:rsidRPr="00D2027A">
              <w:rPr>
                <w:rFonts w:asciiTheme="majorBidi" w:hAnsiTheme="majorBidi" w:cstheme="majorBidi"/>
                <w:bCs/>
                <w:lang w:val="es-ES"/>
              </w:rPr>
              <w:t>. La Junta lleg</w:t>
            </w:r>
            <w:r>
              <w:rPr>
                <w:rFonts w:asciiTheme="majorBidi" w:hAnsiTheme="majorBidi" w:cstheme="majorBidi"/>
                <w:bCs/>
                <w:lang w:val="es-ES"/>
              </w:rPr>
              <w:t>a</w:t>
            </w:r>
            <w:r w:rsidRPr="00D2027A">
              <w:rPr>
                <w:rFonts w:asciiTheme="majorBidi" w:hAnsiTheme="majorBidi" w:cstheme="majorBidi"/>
                <w:bCs/>
                <w:lang w:val="es-ES"/>
              </w:rPr>
              <w:t xml:space="preserve"> a la conclusión de</w:t>
            </w:r>
            <w:r>
              <w:rPr>
                <w:rFonts w:asciiTheme="majorBidi" w:hAnsiTheme="majorBidi" w:cstheme="majorBidi"/>
                <w:bCs/>
                <w:lang w:val="es-ES"/>
              </w:rPr>
              <w:t xml:space="preserve"> no acceder a la solicitud, habida cuenta de</w:t>
            </w:r>
            <w:r w:rsidRPr="00D2027A">
              <w:rPr>
                <w:rFonts w:asciiTheme="majorBidi" w:hAnsiTheme="majorBidi" w:cstheme="majorBidi"/>
                <w:bCs/>
                <w:lang w:val="es-ES"/>
              </w:rPr>
              <w:t xml:space="preserve"> </w:t>
            </w:r>
            <w:r w:rsidRPr="00D2027A">
              <w:rPr>
                <w:rFonts w:asciiTheme="majorBidi" w:hAnsiTheme="majorBidi" w:cstheme="majorBidi"/>
                <w:bCs/>
                <w:lang w:val="es-ES"/>
              </w:rPr>
              <w:lastRenderedPageBreak/>
              <w:t xml:space="preserve">que si bien </w:t>
            </w:r>
            <w:r>
              <w:rPr>
                <w:rFonts w:asciiTheme="majorBidi" w:hAnsiTheme="majorBidi" w:cstheme="majorBidi"/>
                <w:bCs/>
                <w:lang w:val="es-ES"/>
              </w:rPr>
              <w:t>esta posee</w:t>
            </w:r>
            <w:r w:rsidRPr="00D2027A">
              <w:rPr>
                <w:rFonts w:asciiTheme="majorBidi" w:hAnsiTheme="majorBidi" w:cstheme="majorBidi"/>
                <w:bCs/>
                <w:lang w:val="es-ES"/>
              </w:rPr>
              <w:t xml:space="preserve"> </w:t>
            </w:r>
            <w:r>
              <w:rPr>
                <w:rFonts w:asciiTheme="majorBidi" w:hAnsiTheme="majorBidi" w:cstheme="majorBidi"/>
                <w:bCs/>
                <w:lang w:val="es-ES"/>
              </w:rPr>
              <w:t xml:space="preserve">varios </w:t>
            </w:r>
            <w:r w:rsidRPr="00D2027A">
              <w:rPr>
                <w:rFonts w:asciiTheme="majorBidi" w:hAnsiTheme="majorBidi" w:cstheme="majorBidi"/>
                <w:bCs/>
                <w:lang w:val="es-ES"/>
              </w:rPr>
              <w:t xml:space="preserve">elementos </w:t>
            </w:r>
            <w:r>
              <w:rPr>
                <w:rFonts w:asciiTheme="majorBidi" w:hAnsiTheme="majorBidi" w:cstheme="majorBidi"/>
                <w:bCs/>
                <w:lang w:val="es-ES"/>
              </w:rPr>
              <w:t>de</w:t>
            </w:r>
            <w:r w:rsidRPr="00D2027A">
              <w:rPr>
                <w:rFonts w:asciiTheme="majorBidi" w:hAnsiTheme="majorBidi" w:cstheme="majorBidi"/>
                <w:bCs/>
                <w:lang w:val="es-ES"/>
              </w:rPr>
              <w:t xml:space="preserve"> fuerza mayor, </w:t>
            </w:r>
            <w:r>
              <w:rPr>
                <w:rFonts w:asciiTheme="majorBidi" w:hAnsiTheme="majorBidi" w:cstheme="majorBidi"/>
                <w:bCs/>
                <w:lang w:val="es-ES"/>
              </w:rPr>
              <w:t>no se dispone</w:t>
            </w:r>
            <w:r w:rsidRPr="00D2027A">
              <w:rPr>
                <w:rFonts w:asciiTheme="majorBidi" w:hAnsiTheme="majorBidi" w:cstheme="majorBidi"/>
                <w:bCs/>
                <w:lang w:val="es-ES"/>
              </w:rPr>
              <w:t xml:space="preserve"> de información suficiente para determinar si </w:t>
            </w:r>
            <w:r>
              <w:rPr>
                <w:rFonts w:asciiTheme="majorBidi" w:hAnsiTheme="majorBidi" w:cstheme="majorBidi"/>
                <w:bCs/>
                <w:lang w:val="es-ES"/>
              </w:rPr>
              <w:t>el</w:t>
            </w:r>
            <w:r w:rsidRPr="00D2027A">
              <w:rPr>
                <w:rFonts w:asciiTheme="majorBidi" w:hAnsiTheme="majorBidi" w:cstheme="majorBidi"/>
                <w:bCs/>
                <w:lang w:val="es-ES"/>
              </w:rPr>
              <w:t xml:space="preserve"> caso </w:t>
            </w:r>
            <w:r>
              <w:rPr>
                <w:rFonts w:asciiTheme="majorBidi" w:hAnsiTheme="majorBidi" w:cstheme="majorBidi"/>
                <w:bCs/>
                <w:lang w:val="es-ES"/>
              </w:rPr>
              <w:t>reúne todos los requisitos de</w:t>
            </w:r>
            <w:r w:rsidRPr="00D2027A">
              <w:rPr>
                <w:rFonts w:asciiTheme="majorBidi" w:hAnsiTheme="majorBidi" w:cstheme="majorBidi"/>
                <w:bCs/>
                <w:lang w:val="es-ES"/>
              </w:rPr>
              <w:t xml:space="preserve"> caso de fuerza mayor. </w:t>
            </w:r>
            <w:r w:rsidRPr="005449DE">
              <w:rPr>
                <w:rFonts w:asciiTheme="majorBidi" w:hAnsiTheme="majorBidi" w:cstheme="majorBidi"/>
                <w:bCs/>
                <w:lang w:val="es-ES"/>
              </w:rPr>
              <w:t>La Junta encarg</w:t>
            </w:r>
            <w:r>
              <w:rPr>
                <w:rFonts w:asciiTheme="majorBidi" w:hAnsiTheme="majorBidi" w:cstheme="majorBidi"/>
                <w:bCs/>
                <w:lang w:val="es-ES"/>
              </w:rPr>
              <w:t>a</w:t>
            </w:r>
            <w:r w:rsidRPr="005449DE">
              <w:rPr>
                <w:rFonts w:asciiTheme="majorBidi" w:hAnsiTheme="majorBidi" w:cstheme="majorBidi"/>
                <w:bCs/>
                <w:lang w:val="es-ES"/>
              </w:rPr>
              <w:t xml:space="preserve"> a la Oficina que invit</w:t>
            </w:r>
            <w:r>
              <w:rPr>
                <w:rFonts w:asciiTheme="majorBidi" w:hAnsiTheme="majorBidi" w:cstheme="majorBidi"/>
                <w:bCs/>
                <w:lang w:val="es-ES"/>
              </w:rPr>
              <w:t>e</w:t>
            </w:r>
            <w:r w:rsidRPr="005449DE">
              <w:rPr>
                <w:rFonts w:asciiTheme="majorBidi" w:hAnsiTheme="majorBidi" w:cstheme="majorBidi"/>
                <w:bCs/>
                <w:lang w:val="es-ES"/>
              </w:rPr>
              <w:t xml:space="preserve"> a la Administración de Indonesia a </w:t>
            </w:r>
            <w:r>
              <w:rPr>
                <w:rFonts w:asciiTheme="majorBidi" w:hAnsiTheme="majorBidi" w:cstheme="majorBidi"/>
                <w:bCs/>
                <w:lang w:val="es-ES"/>
              </w:rPr>
              <w:t>que proporcione</w:t>
            </w:r>
            <w:r w:rsidRPr="005449DE">
              <w:rPr>
                <w:rFonts w:asciiTheme="majorBidi" w:hAnsiTheme="majorBidi" w:cstheme="majorBidi"/>
                <w:bCs/>
                <w:lang w:val="es-ES"/>
              </w:rPr>
              <w:t xml:space="preserve"> información </w:t>
            </w:r>
            <w:r>
              <w:rPr>
                <w:rFonts w:asciiTheme="majorBidi" w:hAnsiTheme="majorBidi" w:cstheme="majorBidi"/>
                <w:bCs/>
                <w:lang w:val="es-ES"/>
              </w:rPr>
              <w:t>suplementaria</w:t>
            </w:r>
            <w:r w:rsidRPr="005449DE">
              <w:rPr>
                <w:rFonts w:asciiTheme="majorBidi" w:hAnsiTheme="majorBidi" w:cstheme="majorBidi"/>
                <w:bCs/>
                <w:lang w:val="es-ES"/>
              </w:rPr>
              <w:t xml:space="preserve"> </w:t>
            </w:r>
            <w:r>
              <w:rPr>
                <w:rFonts w:asciiTheme="majorBidi" w:hAnsiTheme="majorBidi" w:cstheme="majorBidi"/>
                <w:bCs/>
                <w:lang w:val="es-ES"/>
              </w:rPr>
              <w:t>pormenorizada</w:t>
            </w:r>
            <w:r w:rsidRPr="005449DE">
              <w:rPr>
                <w:rFonts w:asciiTheme="majorBidi" w:hAnsiTheme="majorBidi" w:cstheme="majorBidi"/>
                <w:bCs/>
                <w:lang w:val="es-ES"/>
              </w:rPr>
              <w:t xml:space="preserve"> para demostrar que el caso </w:t>
            </w:r>
            <w:r>
              <w:rPr>
                <w:rFonts w:asciiTheme="majorBidi" w:hAnsiTheme="majorBidi" w:cstheme="majorBidi"/>
                <w:bCs/>
                <w:lang w:val="es-ES"/>
              </w:rPr>
              <w:t>puede considerarse</w:t>
            </w:r>
            <w:r w:rsidRPr="005449DE">
              <w:rPr>
                <w:rFonts w:asciiTheme="majorBidi" w:hAnsiTheme="majorBidi" w:cstheme="majorBidi"/>
                <w:bCs/>
                <w:lang w:val="es-ES"/>
              </w:rPr>
              <w:t xml:space="preserve"> de fuerza mayor (</w:t>
            </w:r>
            <w:r>
              <w:rPr>
                <w:rFonts w:asciiTheme="majorBidi" w:hAnsiTheme="majorBidi" w:cstheme="majorBidi"/>
                <w:bCs/>
                <w:lang w:val="es-ES"/>
              </w:rPr>
              <w:t xml:space="preserve">véase el </w:t>
            </w:r>
            <w:r w:rsidRPr="00D2027A">
              <w:rPr>
                <w:rFonts w:asciiTheme="majorBidi" w:hAnsiTheme="majorBidi" w:cstheme="majorBidi"/>
                <w:bCs/>
                <w:lang w:val="es-ES"/>
              </w:rPr>
              <w:t xml:space="preserve">Doc. </w:t>
            </w:r>
            <w:hyperlink r:id="rId273" w:history="1">
              <w:r w:rsidRPr="00D2027A">
                <w:rPr>
                  <w:rStyle w:val="Hyperlink"/>
                  <w:rFonts w:asciiTheme="majorBidi" w:hAnsiTheme="majorBidi" w:cstheme="majorBidi"/>
                  <w:bCs/>
                  <w:lang w:val="es-ES"/>
                </w:rPr>
                <w:t>RRB20-3/14</w:t>
              </w:r>
            </w:hyperlink>
            <w:r w:rsidRPr="00D2027A">
              <w:rPr>
                <w:rFonts w:asciiTheme="majorBidi" w:hAnsiTheme="majorBidi" w:cstheme="majorBidi"/>
                <w:bCs/>
                <w:lang w:val="es-ES"/>
              </w:rPr>
              <w:t>)</w:t>
            </w:r>
            <w:r w:rsidR="000D6EC0">
              <w:rPr>
                <w:rFonts w:asciiTheme="majorBidi" w:hAnsiTheme="majorBidi" w:cstheme="majorBidi"/>
                <w:bCs/>
                <w:lang w:val="es-ES"/>
              </w:rPr>
              <w:t>.</w:t>
            </w:r>
          </w:p>
        </w:tc>
      </w:tr>
      <w:tr w:rsidR="00967792" w:rsidRPr="00D2027A" w14:paraId="257BF376" w14:textId="77777777" w:rsidTr="00924C8B">
        <w:trPr>
          <w:jc w:val="center"/>
        </w:trPr>
        <w:tc>
          <w:tcPr>
            <w:tcW w:w="183" w:type="pct"/>
          </w:tcPr>
          <w:p w14:paraId="4071D255" w14:textId="0C0F17A7" w:rsidR="00967792" w:rsidRPr="00A616CA" w:rsidRDefault="00967792" w:rsidP="00B53355">
            <w:pPr>
              <w:pStyle w:val="Tabletext"/>
              <w:rPr>
                <w:lang w:val="es-ES"/>
              </w:rPr>
            </w:pPr>
            <w:r w:rsidRPr="00A616CA">
              <w:rPr>
                <w:lang w:val="es-ES"/>
              </w:rPr>
              <w:lastRenderedPageBreak/>
              <w:t>85</w:t>
            </w:r>
          </w:p>
        </w:tc>
        <w:tc>
          <w:tcPr>
            <w:tcW w:w="434" w:type="pct"/>
          </w:tcPr>
          <w:p w14:paraId="699EE7D5" w14:textId="38512D52" w:rsidR="00967792" w:rsidRPr="00A616CA" w:rsidRDefault="00967792" w:rsidP="00B53355">
            <w:pPr>
              <w:pStyle w:val="Tabletext"/>
              <w:rPr>
                <w:lang w:val="es-ES"/>
              </w:rPr>
            </w:pPr>
            <w:r w:rsidRPr="00A616CA">
              <w:rPr>
                <w:lang w:val="es-ES"/>
              </w:rPr>
              <w:t>CMR-19</w:t>
            </w:r>
          </w:p>
        </w:tc>
        <w:tc>
          <w:tcPr>
            <w:tcW w:w="523" w:type="pct"/>
          </w:tcPr>
          <w:p w14:paraId="22D8D4F3" w14:textId="6EC63980" w:rsidR="00967792" w:rsidRPr="00D2027A" w:rsidRDefault="00967792" w:rsidP="00A61288">
            <w:pPr>
              <w:pStyle w:val="Tabletext"/>
              <w:rPr>
                <w:rFonts w:asciiTheme="majorBidi" w:hAnsiTheme="majorBidi" w:cstheme="majorBidi"/>
                <w:bCs/>
                <w:szCs w:val="24"/>
                <w:lang w:val="es-ES"/>
              </w:rPr>
            </w:pPr>
            <w:r w:rsidRPr="00A61288">
              <w:rPr>
                <w:lang w:val="es-ES"/>
              </w:rPr>
              <w:t>12ª</w:t>
            </w:r>
            <w:r>
              <w:rPr>
                <w:rFonts w:asciiTheme="majorBidi" w:hAnsiTheme="majorBidi" w:cstheme="majorBidi"/>
                <w:bCs/>
                <w:szCs w:val="24"/>
                <w:lang w:val="es-ES"/>
              </w:rPr>
              <w:t xml:space="preserve"> </w:t>
            </w:r>
            <w:r w:rsidR="0085397B">
              <w:rPr>
                <w:rFonts w:asciiTheme="majorBidi" w:hAnsiTheme="majorBidi" w:cstheme="majorBidi"/>
                <w:bCs/>
                <w:szCs w:val="24"/>
                <w:lang w:val="es-ES"/>
              </w:rPr>
              <w:t>Plenaria</w:t>
            </w:r>
            <w:r w:rsidR="0025704A">
              <w:rPr>
                <w:rFonts w:asciiTheme="majorBidi" w:hAnsiTheme="majorBidi" w:cstheme="majorBidi"/>
                <w:bCs/>
                <w:szCs w:val="24"/>
                <w:lang w:val="es-ES"/>
              </w:rPr>
              <w:br/>
            </w:r>
            <w:r w:rsidRPr="00D2027A">
              <w:rPr>
                <w:rFonts w:asciiTheme="majorBidi" w:hAnsiTheme="majorBidi" w:cstheme="majorBidi"/>
                <w:bCs/>
                <w:szCs w:val="24"/>
                <w:lang w:val="es-ES"/>
              </w:rPr>
              <w:t xml:space="preserve">Doc. </w:t>
            </w:r>
            <w:hyperlink r:id="rId274" w:history="1">
              <w:r w:rsidRPr="00D2027A">
                <w:rPr>
                  <w:rStyle w:val="Hyperlink"/>
                  <w:rFonts w:asciiTheme="majorBidi" w:hAnsiTheme="majorBidi" w:cstheme="majorBidi"/>
                  <w:bCs/>
                  <w:szCs w:val="24"/>
                  <w:lang w:val="es-ES"/>
                </w:rPr>
                <w:t>CMR19/573</w:t>
              </w:r>
            </w:hyperlink>
          </w:p>
          <w:p w14:paraId="1030D83C" w14:textId="3EB40C86" w:rsidR="00967792" w:rsidRPr="00D2027A" w:rsidRDefault="00967792" w:rsidP="00A61288">
            <w:pPr>
              <w:pStyle w:val="Tabletext"/>
              <w:rPr>
                <w:rFonts w:asciiTheme="majorBidi" w:hAnsiTheme="majorBidi" w:cstheme="majorBidi"/>
                <w:bCs/>
                <w:szCs w:val="24"/>
                <w:lang w:val="es-ES"/>
              </w:rPr>
            </w:pPr>
            <w:r w:rsidRPr="00A61288">
              <w:rPr>
                <w:lang w:val="es-ES"/>
              </w:rPr>
              <w:t>Aprobación</w:t>
            </w:r>
            <w:r>
              <w:rPr>
                <w:rFonts w:asciiTheme="majorBidi" w:hAnsiTheme="majorBidi" w:cstheme="majorBidi"/>
                <w:bCs/>
                <w:szCs w:val="24"/>
                <w:lang w:val="es-ES"/>
              </w:rPr>
              <w:t xml:space="preserve"> del Documento</w:t>
            </w:r>
            <w:r w:rsidRPr="00D2027A">
              <w:rPr>
                <w:rFonts w:asciiTheme="majorBidi" w:hAnsiTheme="majorBidi" w:cstheme="majorBidi"/>
                <w:bCs/>
                <w:szCs w:val="24"/>
                <w:lang w:val="es-ES"/>
              </w:rPr>
              <w:t xml:space="preserve"> </w:t>
            </w:r>
            <w:hyperlink r:id="rId275" w:history="1">
              <w:r w:rsidRPr="00D2027A">
                <w:rPr>
                  <w:rStyle w:val="Hyperlink"/>
                  <w:rFonts w:asciiTheme="majorBidi" w:hAnsiTheme="majorBidi" w:cstheme="majorBidi"/>
                  <w:bCs/>
                  <w:szCs w:val="24"/>
                  <w:lang w:val="es-ES"/>
                </w:rPr>
                <w:t>CMR19/550</w:t>
              </w:r>
            </w:hyperlink>
          </w:p>
        </w:tc>
        <w:tc>
          <w:tcPr>
            <w:tcW w:w="2312" w:type="pct"/>
          </w:tcPr>
          <w:p w14:paraId="4011B1BC" w14:textId="77777777" w:rsidR="00967792" w:rsidRPr="00A61288" w:rsidRDefault="00967792" w:rsidP="00B53355">
            <w:pPr>
              <w:spacing w:before="40" w:after="40"/>
              <w:rPr>
                <w:sz w:val="22"/>
                <w:lang w:val="es-ES"/>
              </w:rPr>
            </w:pPr>
            <w:r w:rsidRPr="00A61288">
              <w:rPr>
                <w:sz w:val="22"/>
                <w:lang w:val="es-ES"/>
              </w:rPr>
              <w:t>3.25</w:t>
            </w:r>
            <w:r w:rsidRPr="00A61288">
              <w:rPr>
                <w:sz w:val="22"/>
                <w:lang w:val="es-ES"/>
              </w:rPr>
              <w:tab/>
              <w:t xml:space="preserve">El </w:t>
            </w:r>
            <w:r w:rsidRPr="00A61288">
              <w:rPr>
                <w:b/>
                <w:bCs/>
                <w:sz w:val="22"/>
                <w:lang w:val="es-ES"/>
              </w:rPr>
              <w:t xml:space="preserve">Presidente del Grupo </w:t>
            </w:r>
            <w:r w:rsidRPr="00A61288">
              <w:rPr>
                <w:b/>
                <w:bCs/>
                <w:i/>
                <w:iCs/>
                <w:sz w:val="22"/>
                <w:lang w:val="es-ES"/>
              </w:rPr>
              <w:t>ad hoc</w:t>
            </w:r>
            <w:r w:rsidRPr="00A61288">
              <w:rPr>
                <w:b/>
                <w:bCs/>
                <w:sz w:val="22"/>
                <w:lang w:val="es-ES"/>
              </w:rPr>
              <w:t xml:space="preserve"> 4A</w:t>
            </w:r>
            <w:r w:rsidRPr="00A61288">
              <w:rPr>
                <w:sz w:val="22"/>
                <w:lang w:val="es-ES"/>
              </w:rPr>
              <w:t xml:space="preserve"> </w:t>
            </w:r>
            <w:r w:rsidRPr="00A61288">
              <w:rPr>
                <w:b/>
                <w:bCs/>
                <w:sz w:val="22"/>
                <w:lang w:val="es-ES"/>
              </w:rPr>
              <w:t xml:space="preserve">de la Plenaria </w:t>
            </w:r>
            <w:r w:rsidRPr="00A61288">
              <w:rPr>
                <w:sz w:val="22"/>
                <w:lang w:val="es-ES"/>
              </w:rPr>
              <w:t>presentó el Documento 550 sobre el punto 1.13 del orden del día. Se propone aprobar el siguiente texto, que figura en el Anexo al Documento 550 e incluirlo en las actas de la reunión a modo de decisión de la Conferencia:</w:t>
            </w:r>
          </w:p>
          <w:p w14:paraId="01DC55FD" w14:textId="0DB33464" w:rsidR="00967792" w:rsidRPr="00A61288" w:rsidRDefault="00967792" w:rsidP="00B53355">
            <w:pPr>
              <w:spacing w:before="40" w:after="40"/>
              <w:rPr>
                <w:b/>
                <w:sz w:val="22"/>
                <w:lang w:val="es-ES"/>
              </w:rPr>
            </w:pPr>
            <w:r w:rsidRPr="00A61288">
              <w:rPr>
                <w:b/>
                <w:sz w:val="22"/>
                <w:lang w:val="es-ES"/>
              </w:rPr>
              <w:t>«Verificación del número 21.5 para la notificación de estaciones IMT que funcionan en la banda de frecuencias de 24,45-27,5 GHz y utilizan una antena integrada por un sistema de elementos activos</w:t>
            </w:r>
          </w:p>
          <w:p w14:paraId="7CDB7278" w14:textId="77777777" w:rsidR="00967792" w:rsidRPr="00A61288" w:rsidRDefault="00967792" w:rsidP="00B53355">
            <w:pPr>
              <w:spacing w:before="40" w:after="40"/>
              <w:rPr>
                <w:sz w:val="22"/>
                <w:lang w:val="es-ES"/>
              </w:rPr>
            </w:pPr>
            <w:r w:rsidRPr="00A61288">
              <w:rPr>
                <w:sz w:val="22"/>
                <w:lang w:val="es-ES"/>
              </w:rPr>
              <w:t xml:space="preserve">Se invita al UIT-R a estudiar, con carácter urgente, la aplicabilidad del límite establecido en el número </w:t>
            </w:r>
            <w:r w:rsidRPr="00A61288">
              <w:rPr>
                <w:b/>
                <w:bCs/>
                <w:sz w:val="22"/>
                <w:lang w:val="es-ES"/>
              </w:rPr>
              <w:t>21.5</w:t>
            </w:r>
            <w:r w:rsidRPr="00A61288">
              <w:rPr>
                <w:sz w:val="22"/>
                <w:lang w:val="es-ES"/>
              </w:rPr>
              <w:t xml:space="preserve"> del Reglamento de Radiocomunicaciones a las estaciones IMT que utilizan una antena integrada por un sistema de elementos activos, con objeto de formular una recomendación sobre las posibilidades existentes para su reemplazo o revisión para dichas estaciones, así como las actualizaciones necesarias del Cuadro </w:t>
            </w:r>
            <w:r w:rsidRPr="00A61288">
              <w:rPr>
                <w:b/>
                <w:bCs/>
                <w:sz w:val="22"/>
                <w:lang w:val="es-ES"/>
              </w:rPr>
              <w:t>21-2</w:t>
            </w:r>
            <w:r w:rsidRPr="00A61288">
              <w:rPr>
                <w:sz w:val="22"/>
                <w:lang w:val="es-ES"/>
              </w:rPr>
              <w:t xml:space="preserve"> en relación con los servicios terrenales y espaciales que comparten bandas de frecuencias.</w:t>
            </w:r>
          </w:p>
          <w:p w14:paraId="09C36235" w14:textId="77777777" w:rsidR="00967792" w:rsidRPr="00A61288" w:rsidRDefault="00967792" w:rsidP="00B53355">
            <w:pPr>
              <w:spacing w:before="40" w:after="40"/>
              <w:rPr>
                <w:sz w:val="22"/>
                <w:lang w:val="es-ES"/>
              </w:rPr>
            </w:pPr>
            <w:r w:rsidRPr="00A61288">
              <w:rPr>
                <w:sz w:val="22"/>
                <w:lang w:val="es-ES"/>
              </w:rPr>
              <w:t xml:space="preserve">Se invita asimismo al UIT-R a estudiar, con carácter urgente, la verificación del número </w:t>
            </w:r>
            <w:r w:rsidRPr="00A61288">
              <w:rPr>
                <w:b/>
                <w:bCs/>
                <w:sz w:val="22"/>
                <w:lang w:val="es-ES"/>
              </w:rPr>
              <w:t>21.5</w:t>
            </w:r>
            <w:r w:rsidRPr="00A61288">
              <w:rPr>
                <w:sz w:val="22"/>
                <w:lang w:val="es-ES"/>
              </w:rPr>
              <w:t xml:space="preserve"> en relación con la notificación de las estaciones IMT que utilizan una antena integrada por un sistema de elementos activos, si procede».</w:t>
            </w:r>
          </w:p>
          <w:p w14:paraId="279B31FE" w14:textId="77777777" w:rsidR="00967792" w:rsidRPr="00A61288" w:rsidRDefault="00967792" w:rsidP="00B53355">
            <w:pPr>
              <w:spacing w:before="40" w:after="40"/>
              <w:rPr>
                <w:sz w:val="22"/>
                <w:lang w:val="es-ES"/>
              </w:rPr>
            </w:pPr>
            <w:r w:rsidRPr="00A61288">
              <w:rPr>
                <w:sz w:val="22"/>
                <w:lang w:val="es-ES"/>
              </w:rPr>
              <w:t>3.26</w:t>
            </w:r>
            <w:r w:rsidRPr="00A61288">
              <w:rPr>
                <w:sz w:val="22"/>
                <w:lang w:val="es-ES"/>
              </w:rPr>
              <w:tab/>
              <w:t xml:space="preserve">Así se </w:t>
            </w:r>
            <w:r w:rsidRPr="00A61288">
              <w:rPr>
                <w:b/>
                <w:bCs/>
                <w:sz w:val="22"/>
                <w:lang w:val="es-ES"/>
              </w:rPr>
              <w:t>acuerda</w:t>
            </w:r>
            <w:r w:rsidRPr="00A61288">
              <w:rPr>
                <w:sz w:val="22"/>
                <w:lang w:val="es-ES"/>
              </w:rPr>
              <w:t>.</w:t>
            </w:r>
          </w:p>
          <w:p w14:paraId="3CE420F5" w14:textId="3995E621" w:rsidR="00967792" w:rsidRPr="00A61288" w:rsidRDefault="00967792" w:rsidP="00B53355">
            <w:pPr>
              <w:spacing w:before="40" w:after="40"/>
              <w:rPr>
                <w:sz w:val="22"/>
                <w:lang w:val="es-ES"/>
              </w:rPr>
            </w:pPr>
            <w:r w:rsidRPr="00A61288">
              <w:rPr>
                <w:sz w:val="22"/>
                <w:lang w:val="es-ES"/>
              </w:rPr>
              <w:t>3.27</w:t>
            </w:r>
            <w:r w:rsidRPr="00A61288">
              <w:rPr>
                <w:sz w:val="22"/>
                <w:lang w:val="es-ES"/>
              </w:rPr>
              <w:tab/>
              <w:t xml:space="preserve">Se </w:t>
            </w:r>
            <w:r w:rsidRPr="00A61288">
              <w:rPr>
                <w:b/>
                <w:bCs/>
                <w:sz w:val="22"/>
                <w:lang w:val="es-ES"/>
              </w:rPr>
              <w:t xml:space="preserve">aprueba </w:t>
            </w:r>
            <w:r w:rsidRPr="00A61288">
              <w:rPr>
                <w:sz w:val="22"/>
                <w:lang w:val="es-ES"/>
              </w:rPr>
              <w:t>el Documento 550.</w:t>
            </w:r>
          </w:p>
        </w:tc>
        <w:tc>
          <w:tcPr>
            <w:tcW w:w="1548" w:type="pct"/>
          </w:tcPr>
          <w:p w14:paraId="7023B8F8" w14:textId="54E38B88" w:rsidR="00967792" w:rsidRPr="00A616CA" w:rsidDel="009440F5" w:rsidRDefault="00967792" w:rsidP="00B53355">
            <w:pPr>
              <w:pStyle w:val="Tabletext"/>
              <w:rPr>
                <w:lang w:val="es-ES"/>
              </w:rPr>
            </w:pPr>
            <w:r w:rsidRPr="00A616CA">
              <w:rPr>
                <w:lang w:val="es-ES"/>
              </w:rPr>
              <w:t>–</w:t>
            </w:r>
          </w:p>
        </w:tc>
      </w:tr>
      <w:tr w:rsidR="00967792" w:rsidRPr="00D2027A" w14:paraId="678377C0" w14:textId="77777777" w:rsidTr="00924C8B">
        <w:trPr>
          <w:jc w:val="center"/>
        </w:trPr>
        <w:tc>
          <w:tcPr>
            <w:tcW w:w="183" w:type="pct"/>
          </w:tcPr>
          <w:p w14:paraId="7C06A922" w14:textId="0EE35B99" w:rsidR="00967792" w:rsidRPr="00A616CA" w:rsidRDefault="00967792" w:rsidP="00B53355">
            <w:pPr>
              <w:pStyle w:val="Tabletext"/>
              <w:rPr>
                <w:lang w:val="es-ES"/>
              </w:rPr>
            </w:pPr>
            <w:r w:rsidRPr="00A616CA">
              <w:rPr>
                <w:lang w:val="es-ES"/>
              </w:rPr>
              <w:t>86</w:t>
            </w:r>
          </w:p>
        </w:tc>
        <w:tc>
          <w:tcPr>
            <w:tcW w:w="434" w:type="pct"/>
          </w:tcPr>
          <w:p w14:paraId="26937B75" w14:textId="31C013CD" w:rsidR="00967792" w:rsidRPr="00A616CA" w:rsidRDefault="00967792" w:rsidP="00B53355">
            <w:pPr>
              <w:pStyle w:val="Tabletext"/>
              <w:rPr>
                <w:lang w:val="es-ES"/>
              </w:rPr>
            </w:pPr>
            <w:r w:rsidRPr="00A616CA">
              <w:rPr>
                <w:lang w:val="es-ES"/>
              </w:rPr>
              <w:t>CMR-19</w:t>
            </w:r>
          </w:p>
        </w:tc>
        <w:tc>
          <w:tcPr>
            <w:tcW w:w="523" w:type="pct"/>
          </w:tcPr>
          <w:p w14:paraId="4D0F796F" w14:textId="10213E76" w:rsidR="00967792" w:rsidRPr="00D2027A" w:rsidRDefault="00967792" w:rsidP="00A61288">
            <w:pPr>
              <w:pStyle w:val="Tabletext"/>
              <w:rPr>
                <w:rFonts w:asciiTheme="majorBidi" w:hAnsiTheme="majorBidi" w:cstheme="majorBidi"/>
                <w:bCs/>
                <w:szCs w:val="24"/>
                <w:lang w:val="es-ES"/>
              </w:rPr>
            </w:pPr>
            <w:r>
              <w:rPr>
                <w:rFonts w:asciiTheme="majorBidi" w:hAnsiTheme="majorBidi" w:cstheme="majorBidi"/>
                <w:bCs/>
                <w:szCs w:val="24"/>
                <w:lang w:val="es-ES"/>
              </w:rPr>
              <w:t>12ª Plenaria</w:t>
            </w:r>
            <w:r w:rsidR="0025704A">
              <w:rPr>
                <w:rFonts w:asciiTheme="majorBidi" w:hAnsiTheme="majorBidi" w:cstheme="majorBidi"/>
                <w:bCs/>
                <w:szCs w:val="24"/>
                <w:lang w:val="es-ES"/>
              </w:rPr>
              <w:br/>
            </w:r>
            <w:r w:rsidRPr="00D2027A">
              <w:rPr>
                <w:rFonts w:asciiTheme="majorBidi" w:hAnsiTheme="majorBidi" w:cstheme="majorBidi"/>
                <w:bCs/>
                <w:szCs w:val="24"/>
                <w:lang w:val="es-ES"/>
              </w:rPr>
              <w:t>Doc</w:t>
            </w:r>
            <w:r w:rsidR="0025704A">
              <w:rPr>
                <w:rFonts w:asciiTheme="majorBidi" w:hAnsiTheme="majorBidi" w:cstheme="majorBidi"/>
                <w:bCs/>
                <w:szCs w:val="24"/>
                <w:lang w:val="es-ES"/>
              </w:rPr>
              <w:t>.</w:t>
            </w:r>
            <w:r w:rsidRPr="00D2027A">
              <w:rPr>
                <w:rFonts w:asciiTheme="majorBidi" w:hAnsiTheme="majorBidi" w:cstheme="majorBidi"/>
                <w:bCs/>
                <w:szCs w:val="24"/>
                <w:lang w:val="es-ES"/>
              </w:rPr>
              <w:t xml:space="preserve"> </w:t>
            </w:r>
            <w:hyperlink r:id="rId276" w:history="1">
              <w:r w:rsidRPr="00D2027A">
                <w:rPr>
                  <w:rStyle w:val="Hyperlink"/>
                  <w:rFonts w:asciiTheme="majorBidi" w:hAnsiTheme="majorBidi" w:cstheme="majorBidi"/>
                  <w:bCs/>
                  <w:szCs w:val="24"/>
                  <w:lang w:val="es-ES"/>
                </w:rPr>
                <w:t>CMR19/573</w:t>
              </w:r>
            </w:hyperlink>
            <w:r w:rsidRPr="00D2027A">
              <w:rPr>
                <w:rFonts w:asciiTheme="majorBidi" w:hAnsiTheme="majorBidi" w:cstheme="majorBidi"/>
                <w:bCs/>
                <w:szCs w:val="24"/>
                <w:lang w:val="es-ES"/>
              </w:rPr>
              <w:t xml:space="preserve"> </w:t>
            </w:r>
          </w:p>
          <w:p w14:paraId="02F405F5" w14:textId="58519DBE" w:rsidR="00967792" w:rsidRPr="00D2027A" w:rsidRDefault="00967792" w:rsidP="00A61288">
            <w:pPr>
              <w:pStyle w:val="Tabletext"/>
              <w:rPr>
                <w:rFonts w:asciiTheme="majorBidi" w:hAnsiTheme="majorBidi" w:cstheme="majorBidi"/>
                <w:bCs/>
                <w:szCs w:val="24"/>
                <w:lang w:val="es-ES"/>
              </w:rPr>
            </w:pPr>
            <w:r w:rsidRPr="00A61288">
              <w:rPr>
                <w:lang w:val="es-ES"/>
              </w:rPr>
              <w:t>Aprobación</w:t>
            </w:r>
            <w:r>
              <w:rPr>
                <w:rFonts w:asciiTheme="majorBidi" w:hAnsiTheme="majorBidi" w:cstheme="majorBidi"/>
                <w:bCs/>
                <w:szCs w:val="24"/>
                <w:lang w:val="es-ES"/>
              </w:rPr>
              <w:t xml:space="preserve"> del Documento</w:t>
            </w:r>
            <w:r w:rsidRPr="00D2027A">
              <w:rPr>
                <w:rFonts w:asciiTheme="majorBidi" w:hAnsiTheme="majorBidi" w:cstheme="majorBidi"/>
                <w:bCs/>
                <w:szCs w:val="24"/>
                <w:lang w:val="es-ES"/>
              </w:rPr>
              <w:t xml:space="preserve"> </w:t>
            </w:r>
            <w:hyperlink r:id="rId277" w:history="1">
              <w:r w:rsidRPr="00D2027A">
                <w:rPr>
                  <w:rStyle w:val="Hyperlink"/>
                  <w:rFonts w:asciiTheme="majorBidi" w:hAnsiTheme="majorBidi" w:cstheme="majorBidi"/>
                  <w:bCs/>
                  <w:szCs w:val="24"/>
                  <w:lang w:val="es-ES"/>
                </w:rPr>
                <w:t>CMR19/283</w:t>
              </w:r>
            </w:hyperlink>
          </w:p>
        </w:tc>
        <w:tc>
          <w:tcPr>
            <w:tcW w:w="2312" w:type="pct"/>
          </w:tcPr>
          <w:p w14:paraId="2622941E" w14:textId="77777777" w:rsidR="00967792" w:rsidRPr="00A61288" w:rsidRDefault="00967792" w:rsidP="00B53355">
            <w:pPr>
              <w:spacing w:before="40" w:after="40"/>
              <w:rPr>
                <w:sz w:val="22"/>
                <w:lang w:val="es-ES"/>
              </w:rPr>
            </w:pPr>
            <w:r w:rsidRPr="00A61288">
              <w:rPr>
                <w:sz w:val="22"/>
                <w:lang w:val="es-ES"/>
              </w:rPr>
              <w:t>5.3</w:t>
            </w:r>
            <w:r w:rsidRPr="00A61288">
              <w:rPr>
                <w:sz w:val="22"/>
                <w:lang w:val="es-ES"/>
              </w:rPr>
              <w:tab/>
              <w:t xml:space="preserve">El </w:t>
            </w:r>
            <w:r w:rsidRPr="00A61288">
              <w:rPr>
                <w:b/>
                <w:bCs/>
                <w:sz w:val="22"/>
                <w:lang w:val="es-ES"/>
              </w:rPr>
              <w:t xml:space="preserve">Presidente de la Comisión 4 </w:t>
            </w:r>
            <w:r w:rsidRPr="00A61288">
              <w:rPr>
                <w:sz w:val="22"/>
                <w:lang w:val="es-ES"/>
              </w:rPr>
              <w:t>presenta el Documento 283, que contiene el décimo informe de la Comisión 4 a la Plenaria. Se propone aprobar el siguiente texto, que figura en el Documento 283 e incluirlo en las actas de la reunión a modo de decisión de la Conferencia:</w:t>
            </w:r>
          </w:p>
          <w:p w14:paraId="1799012B" w14:textId="0EB75438" w:rsidR="00967792" w:rsidRPr="00A61288" w:rsidRDefault="00967792" w:rsidP="00B53355">
            <w:pPr>
              <w:spacing w:before="40" w:after="40"/>
              <w:rPr>
                <w:sz w:val="22"/>
                <w:lang w:val="es-ES"/>
              </w:rPr>
            </w:pPr>
            <w:r w:rsidRPr="00A61288">
              <w:rPr>
                <w:sz w:val="22"/>
                <w:lang w:val="es-ES"/>
              </w:rPr>
              <w:t>«Se invita a las administraciones de la Región 1 que deseen atribuir la banda de frecuencias 50</w:t>
            </w:r>
            <w:r w:rsidRPr="00A61288">
              <w:rPr>
                <w:sz w:val="22"/>
                <w:lang w:val="es-ES"/>
              </w:rPr>
              <w:noBreakHyphen/>
              <w:t xml:space="preserve">54 MHz, o partes de ella, al servicio de aficionados exclusivamente a título primario en futuras CMR, a que añadan su nombre al número </w:t>
            </w:r>
            <w:r w:rsidRPr="00A61288">
              <w:rPr>
                <w:b/>
                <w:bCs/>
                <w:sz w:val="22"/>
                <w:lang w:val="es-ES"/>
              </w:rPr>
              <w:t>5.169</w:t>
            </w:r>
            <w:r w:rsidRPr="00A61288">
              <w:rPr>
                <w:b/>
                <w:bCs/>
                <w:i/>
                <w:iCs/>
                <w:sz w:val="22"/>
                <w:lang w:val="es-ES"/>
              </w:rPr>
              <w:t>bis</w:t>
            </w:r>
            <w:r w:rsidRPr="00A61288">
              <w:rPr>
                <w:sz w:val="22"/>
                <w:lang w:val="es-ES"/>
              </w:rPr>
              <w:t xml:space="preserve"> del RR y no al número </w:t>
            </w:r>
            <w:r w:rsidRPr="00A61288">
              <w:rPr>
                <w:b/>
                <w:bCs/>
                <w:sz w:val="22"/>
                <w:lang w:val="es-ES"/>
              </w:rPr>
              <w:t>5.169</w:t>
            </w:r>
            <w:r w:rsidRPr="00A61288">
              <w:rPr>
                <w:sz w:val="22"/>
                <w:lang w:val="es-ES"/>
              </w:rPr>
              <w:t xml:space="preserve"> del RR, debido a su condición histórica especial. La BR adoptará todas </w:t>
            </w:r>
            <w:r w:rsidRPr="00A61288">
              <w:rPr>
                <w:sz w:val="22"/>
                <w:lang w:val="es-ES"/>
              </w:rPr>
              <w:lastRenderedPageBreak/>
              <w:t xml:space="preserve">las medidas necesarias para orientar a dichas administraciones para que propongan añadir su nombre únicamente al número </w:t>
            </w:r>
            <w:r w:rsidRPr="00A61288">
              <w:rPr>
                <w:b/>
                <w:bCs/>
                <w:sz w:val="22"/>
                <w:lang w:val="es-ES"/>
              </w:rPr>
              <w:t>5.169</w:t>
            </w:r>
            <w:r w:rsidRPr="00A61288">
              <w:rPr>
                <w:b/>
                <w:bCs/>
                <w:i/>
                <w:iCs/>
                <w:sz w:val="22"/>
                <w:lang w:val="es-ES"/>
              </w:rPr>
              <w:t>bis</w:t>
            </w:r>
            <w:r w:rsidRPr="00A61288">
              <w:rPr>
                <w:b/>
                <w:bCs/>
                <w:sz w:val="22"/>
                <w:lang w:val="es-ES"/>
              </w:rPr>
              <w:t xml:space="preserve"> </w:t>
            </w:r>
            <w:r w:rsidRPr="00A61288">
              <w:rPr>
                <w:sz w:val="22"/>
                <w:lang w:val="es-ES"/>
              </w:rPr>
              <w:t>del</w:t>
            </w:r>
            <w:r w:rsidR="00F65386">
              <w:rPr>
                <w:sz w:val="22"/>
                <w:lang w:val="es-ES"/>
              </w:rPr>
              <w:t> </w:t>
            </w:r>
            <w:r w:rsidRPr="00A61288">
              <w:rPr>
                <w:sz w:val="22"/>
                <w:lang w:val="es-ES"/>
              </w:rPr>
              <w:t>RR».</w:t>
            </w:r>
          </w:p>
          <w:p w14:paraId="63CE7FEC" w14:textId="77777777" w:rsidR="00967792" w:rsidRPr="00A61288" w:rsidRDefault="00967792" w:rsidP="00B53355">
            <w:pPr>
              <w:spacing w:before="40" w:after="40"/>
              <w:rPr>
                <w:sz w:val="22"/>
                <w:lang w:val="es-ES"/>
              </w:rPr>
            </w:pPr>
            <w:r w:rsidRPr="00A61288">
              <w:rPr>
                <w:sz w:val="22"/>
                <w:lang w:val="es-ES"/>
              </w:rPr>
              <w:t>5.4</w:t>
            </w:r>
            <w:r w:rsidRPr="00A61288">
              <w:rPr>
                <w:sz w:val="22"/>
                <w:lang w:val="es-ES"/>
              </w:rPr>
              <w:tab/>
              <w:t xml:space="preserve">Así se </w:t>
            </w:r>
            <w:r w:rsidRPr="00A61288">
              <w:rPr>
                <w:b/>
                <w:bCs/>
                <w:sz w:val="22"/>
                <w:lang w:val="es-ES"/>
              </w:rPr>
              <w:t>acuerda</w:t>
            </w:r>
            <w:r w:rsidRPr="00A61288">
              <w:rPr>
                <w:sz w:val="22"/>
                <w:lang w:val="es-ES"/>
              </w:rPr>
              <w:t>.</w:t>
            </w:r>
          </w:p>
          <w:p w14:paraId="6695424C" w14:textId="61B3B543" w:rsidR="00967792" w:rsidRPr="00A61288" w:rsidRDefault="00967792" w:rsidP="00B53355">
            <w:pPr>
              <w:spacing w:before="40" w:after="40"/>
              <w:rPr>
                <w:sz w:val="22"/>
                <w:lang w:val="es-ES"/>
              </w:rPr>
            </w:pPr>
            <w:r w:rsidRPr="00A61288">
              <w:rPr>
                <w:sz w:val="22"/>
                <w:lang w:val="es-ES"/>
              </w:rPr>
              <w:t>5.5</w:t>
            </w:r>
            <w:r w:rsidRPr="00A61288">
              <w:rPr>
                <w:sz w:val="22"/>
                <w:lang w:val="es-ES"/>
              </w:rPr>
              <w:tab/>
              <w:t xml:space="preserve">Se </w:t>
            </w:r>
            <w:r w:rsidRPr="00A61288">
              <w:rPr>
                <w:b/>
                <w:bCs/>
                <w:sz w:val="22"/>
                <w:lang w:val="es-ES"/>
              </w:rPr>
              <w:t xml:space="preserve">aprueba </w:t>
            </w:r>
            <w:r w:rsidRPr="00A61288">
              <w:rPr>
                <w:sz w:val="22"/>
                <w:lang w:val="es-ES"/>
              </w:rPr>
              <w:t>el Documento 283.</w:t>
            </w:r>
          </w:p>
        </w:tc>
        <w:tc>
          <w:tcPr>
            <w:tcW w:w="1548" w:type="pct"/>
          </w:tcPr>
          <w:p w14:paraId="08B6CA81" w14:textId="2999200F" w:rsidR="00967792" w:rsidRPr="00A616CA" w:rsidDel="009440F5" w:rsidRDefault="00967792" w:rsidP="00B53355">
            <w:pPr>
              <w:pStyle w:val="Tabletext"/>
              <w:rPr>
                <w:lang w:val="es-ES"/>
              </w:rPr>
            </w:pPr>
            <w:r w:rsidRPr="00A616CA">
              <w:rPr>
                <w:lang w:val="es-ES"/>
              </w:rPr>
              <w:lastRenderedPageBreak/>
              <w:t>–</w:t>
            </w:r>
          </w:p>
        </w:tc>
      </w:tr>
      <w:tr w:rsidR="00967792" w:rsidRPr="00D2027A" w14:paraId="16374737" w14:textId="77777777" w:rsidTr="00924C8B">
        <w:trPr>
          <w:jc w:val="center"/>
        </w:trPr>
        <w:tc>
          <w:tcPr>
            <w:tcW w:w="183" w:type="pct"/>
          </w:tcPr>
          <w:p w14:paraId="7ED95162" w14:textId="47F9303C" w:rsidR="00967792" w:rsidRPr="00A616CA" w:rsidRDefault="00967792" w:rsidP="00B53355">
            <w:pPr>
              <w:pStyle w:val="Tabletext"/>
              <w:rPr>
                <w:lang w:val="es-ES"/>
              </w:rPr>
            </w:pPr>
            <w:r w:rsidRPr="00A616CA">
              <w:rPr>
                <w:lang w:val="es-ES"/>
              </w:rPr>
              <w:t>87</w:t>
            </w:r>
          </w:p>
        </w:tc>
        <w:tc>
          <w:tcPr>
            <w:tcW w:w="434" w:type="pct"/>
          </w:tcPr>
          <w:p w14:paraId="72140D24" w14:textId="79B379CA" w:rsidR="00967792" w:rsidRPr="00A616CA" w:rsidRDefault="00967792" w:rsidP="00B53355">
            <w:pPr>
              <w:pStyle w:val="Tabletext"/>
              <w:rPr>
                <w:lang w:val="es-ES"/>
              </w:rPr>
            </w:pPr>
            <w:r w:rsidRPr="00A616CA">
              <w:rPr>
                <w:lang w:val="es-ES"/>
              </w:rPr>
              <w:t>CMR-19</w:t>
            </w:r>
          </w:p>
        </w:tc>
        <w:tc>
          <w:tcPr>
            <w:tcW w:w="523" w:type="pct"/>
          </w:tcPr>
          <w:p w14:paraId="707D8910" w14:textId="78695B4A" w:rsidR="00967792" w:rsidRPr="00196BBF" w:rsidRDefault="00967792" w:rsidP="00A61288">
            <w:pPr>
              <w:pStyle w:val="Tabletext"/>
              <w:rPr>
                <w:rFonts w:asciiTheme="majorBidi" w:hAnsiTheme="majorBidi" w:cstheme="majorBidi"/>
                <w:bCs/>
                <w:szCs w:val="24"/>
                <w:lang w:val="pt-PT"/>
              </w:rPr>
            </w:pPr>
            <w:r w:rsidRPr="00A61288">
              <w:rPr>
                <w:lang w:val="es-ES"/>
              </w:rPr>
              <w:t>12ª</w:t>
            </w:r>
            <w:r w:rsidRPr="00196BBF">
              <w:rPr>
                <w:rFonts w:asciiTheme="majorBidi" w:hAnsiTheme="majorBidi" w:cstheme="majorBidi"/>
                <w:bCs/>
                <w:szCs w:val="24"/>
                <w:lang w:val="pt-PT"/>
              </w:rPr>
              <w:t xml:space="preserve"> </w:t>
            </w:r>
            <w:r w:rsidRPr="00A61288">
              <w:rPr>
                <w:lang w:val="es-ES"/>
              </w:rPr>
              <w:t>Plenaria</w:t>
            </w:r>
            <w:r w:rsidR="0025704A">
              <w:rPr>
                <w:rFonts w:asciiTheme="majorBidi" w:hAnsiTheme="majorBidi" w:cstheme="majorBidi"/>
                <w:bCs/>
                <w:szCs w:val="24"/>
                <w:lang w:val="pt-PT"/>
              </w:rPr>
              <w:br/>
            </w:r>
            <w:r w:rsidRPr="00A61288">
              <w:rPr>
                <w:lang w:val="es-ES"/>
              </w:rPr>
              <w:t>Doc</w:t>
            </w:r>
            <w:r w:rsidR="0025704A">
              <w:rPr>
                <w:lang w:val="es-ES"/>
              </w:rPr>
              <w:t>.</w:t>
            </w:r>
            <w:r w:rsidRPr="00196BBF">
              <w:rPr>
                <w:rFonts w:asciiTheme="majorBidi" w:hAnsiTheme="majorBidi" w:cstheme="majorBidi"/>
                <w:bCs/>
                <w:szCs w:val="24"/>
                <w:lang w:val="pt-PT"/>
              </w:rPr>
              <w:t xml:space="preserve"> </w:t>
            </w:r>
            <w:hyperlink r:id="rId278" w:history="1">
              <w:r w:rsidRPr="00196BBF">
                <w:rPr>
                  <w:rStyle w:val="Hyperlink"/>
                  <w:rFonts w:asciiTheme="majorBidi" w:hAnsiTheme="majorBidi" w:cstheme="majorBidi"/>
                  <w:bCs/>
                  <w:szCs w:val="24"/>
                  <w:lang w:val="pt-PT"/>
                </w:rPr>
                <w:t>CMR19/573</w:t>
              </w:r>
            </w:hyperlink>
            <w:r w:rsidRPr="00196BBF">
              <w:rPr>
                <w:rFonts w:asciiTheme="majorBidi" w:hAnsiTheme="majorBidi" w:cstheme="majorBidi"/>
                <w:bCs/>
                <w:szCs w:val="24"/>
                <w:lang w:val="pt-PT"/>
              </w:rPr>
              <w:t xml:space="preserve"> </w:t>
            </w:r>
          </w:p>
          <w:p w14:paraId="064917B1" w14:textId="28F66C74" w:rsidR="00967792" w:rsidRPr="00196BBF" w:rsidRDefault="00967792" w:rsidP="00A61288">
            <w:pPr>
              <w:pStyle w:val="Tabletext"/>
              <w:rPr>
                <w:rFonts w:asciiTheme="majorBidi" w:hAnsiTheme="majorBidi" w:cstheme="majorBidi"/>
                <w:bCs/>
                <w:szCs w:val="24"/>
                <w:lang w:val="pt-PT"/>
              </w:rPr>
            </w:pPr>
            <w:r w:rsidRPr="00A61288">
              <w:rPr>
                <w:lang w:val="es-ES"/>
              </w:rPr>
              <w:t>Aprobación</w:t>
            </w:r>
            <w:r>
              <w:rPr>
                <w:rFonts w:asciiTheme="majorBidi" w:hAnsiTheme="majorBidi" w:cstheme="majorBidi"/>
                <w:bCs/>
                <w:szCs w:val="24"/>
                <w:lang w:val="pt-PT"/>
              </w:rPr>
              <w:t xml:space="preserve"> del Documento</w:t>
            </w:r>
            <w:r w:rsidRPr="00196BBF">
              <w:rPr>
                <w:rFonts w:asciiTheme="majorBidi" w:hAnsiTheme="majorBidi" w:cstheme="majorBidi"/>
                <w:bCs/>
                <w:szCs w:val="24"/>
                <w:lang w:val="pt-PT"/>
              </w:rPr>
              <w:t xml:space="preserve"> </w:t>
            </w:r>
            <w:hyperlink r:id="rId279" w:history="1">
              <w:r w:rsidRPr="00196BBF">
                <w:rPr>
                  <w:rStyle w:val="Hyperlink"/>
                  <w:rFonts w:asciiTheme="majorBidi" w:hAnsiTheme="majorBidi" w:cstheme="majorBidi"/>
                  <w:bCs/>
                  <w:szCs w:val="24"/>
                  <w:lang w:val="pt-PT"/>
                </w:rPr>
                <w:t>CMR19/563</w:t>
              </w:r>
            </w:hyperlink>
          </w:p>
        </w:tc>
        <w:tc>
          <w:tcPr>
            <w:tcW w:w="2312" w:type="pct"/>
          </w:tcPr>
          <w:p w14:paraId="0858BE57" w14:textId="77777777" w:rsidR="00967792" w:rsidRPr="00A61288" w:rsidRDefault="00967792" w:rsidP="00B53355">
            <w:pPr>
              <w:spacing w:before="40" w:after="40"/>
              <w:rPr>
                <w:sz w:val="22"/>
                <w:lang w:val="es-ES"/>
              </w:rPr>
            </w:pPr>
            <w:r w:rsidRPr="00A61288">
              <w:rPr>
                <w:sz w:val="22"/>
                <w:lang w:val="es-ES"/>
              </w:rPr>
              <w:t>27.1</w:t>
            </w:r>
            <w:r w:rsidRPr="00A61288">
              <w:rPr>
                <w:sz w:val="22"/>
                <w:lang w:val="es-ES"/>
              </w:rPr>
              <w:tab/>
              <w:t xml:space="preserve">El </w:t>
            </w:r>
            <w:r w:rsidRPr="00A61288">
              <w:rPr>
                <w:b/>
                <w:bCs/>
                <w:sz w:val="22"/>
                <w:lang w:val="es-ES"/>
              </w:rPr>
              <w:t>Presidente de la Comisión 6</w:t>
            </w:r>
            <w:r w:rsidRPr="00A61288">
              <w:rPr>
                <w:sz w:val="22"/>
                <w:lang w:val="es-ES"/>
              </w:rPr>
              <w:t xml:space="preserve">, en su calidad de Presidente del Grupo </w:t>
            </w:r>
            <w:r w:rsidRPr="00A61288">
              <w:rPr>
                <w:i/>
                <w:iCs/>
                <w:sz w:val="22"/>
                <w:lang w:val="es-ES"/>
              </w:rPr>
              <w:t>ad hoc</w:t>
            </w:r>
            <w:r w:rsidRPr="00A61288">
              <w:rPr>
                <w:sz w:val="22"/>
                <w:lang w:val="es-ES"/>
              </w:rPr>
              <w:t xml:space="preserve"> de la Plenaria 6, presenta el Documento 563 que contiene el informe del Grupo sobre el punto 10 del orden del día. El Grupo ha examinado el orden del día propuesto para la CMR-23 y el orden del día preliminar de la CMR-27. Pese a que sólo debía considerar los títulos de los puntos del orden del día y las correspondientes Resoluciones para la CMR-27, el Grupo </w:t>
            </w:r>
            <w:r w:rsidRPr="00A61288">
              <w:rPr>
                <w:i/>
                <w:iCs/>
                <w:sz w:val="22"/>
                <w:lang w:val="es-ES"/>
              </w:rPr>
              <w:t>ad hoc</w:t>
            </w:r>
            <w:r w:rsidRPr="00A61288">
              <w:rPr>
                <w:sz w:val="22"/>
                <w:lang w:val="es-ES"/>
              </w:rPr>
              <w:t xml:space="preserve"> ha examinado todos los puntos del orden del día de la CMR-27. Se propone aprobar el siguiente texto, que figura en el documento, e incluir en las actas de la Sesión Plenaria para considerarlo como posible tema futuro al realizar los estudios en virtud del punto 7 del orden del día de la CMR-23:</w:t>
            </w:r>
          </w:p>
          <w:p w14:paraId="4F8AD4C4" w14:textId="77777777" w:rsidR="00967792" w:rsidRPr="00A61288" w:rsidRDefault="00967792" w:rsidP="00B53355">
            <w:pPr>
              <w:spacing w:before="40" w:after="40"/>
              <w:rPr>
                <w:sz w:val="22"/>
                <w:lang w:val="es-ES"/>
              </w:rPr>
            </w:pPr>
            <w:r w:rsidRPr="00A61288">
              <w:rPr>
                <w:sz w:val="22"/>
                <w:lang w:val="es-ES"/>
              </w:rPr>
              <w:t>«Examinar la protección de las redes de satélites geoestacionarios del SMS que funcionan en las bandas 7/8 y 20/30 GHz contra las emisiones de los sistemas de satélites no geoestacionarios que funcionan en las mismas bandas de frecuencias y en los mismos sentidos».</w:t>
            </w:r>
          </w:p>
          <w:p w14:paraId="1C1146C7" w14:textId="77777777" w:rsidR="00967792" w:rsidRPr="00A61288" w:rsidRDefault="00967792" w:rsidP="00B53355">
            <w:pPr>
              <w:spacing w:before="40" w:after="40"/>
              <w:rPr>
                <w:sz w:val="22"/>
                <w:lang w:val="es-ES"/>
              </w:rPr>
            </w:pPr>
            <w:r w:rsidRPr="00A61288">
              <w:rPr>
                <w:sz w:val="22"/>
                <w:lang w:val="es-ES"/>
              </w:rPr>
              <w:t>27.2</w:t>
            </w:r>
            <w:r w:rsidRPr="00A61288">
              <w:rPr>
                <w:sz w:val="22"/>
                <w:lang w:val="es-ES"/>
              </w:rPr>
              <w:tab/>
              <w:t xml:space="preserve">Así se </w:t>
            </w:r>
            <w:r w:rsidRPr="00A61288">
              <w:rPr>
                <w:b/>
                <w:bCs/>
                <w:sz w:val="22"/>
                <w:lang w:val="es-ES"/>
              </w:rPr>
              <w:t>acuerda</w:t>
            </w:r>
            <w:r w:rsidRPr="00A61288">
              <w:rPr>
                <w:sz w:val="22"/>
                <w:lang w:val="es-ES"/>
              </w:rPr>
              <w:t>.</w:t>
            </w:r>
          </w:p>
          <w:p w14:paraId="5DD4F3D8" w14:textId="77777777" w:rsidR="00967792" w:rsidRPr="00A61288" w:rsidRDefault="00967792" w:rsidP="00B53355">
            <w:pPr>
              <w:spacing w:before="40" w:after="40"/>
              <w:rPr>
                <w:sz w:val="22"/>
                <w:lang w:val="es-ES"/>
              </w:rPr>
            </w:pPr>
            <w:r w:rsidRPr="00A61288">
              <w:rPr>
                <w:sz w:val="22"/>
                <w:lang w:val="es-ES"/>
              </w:rPr>
              <w:t>27.3</w:t>
            </w:r>
            <w:r w:rsidRPr="00A61288">
              <w:rPr>
                <w:sz w:val="22"/>
                <w:lang w:val="es-ES"/>
              </w:rPr>
              <w:tab/>
              <w:t xml:space="preserve">El </w:t>
            </w:r>
            <w:r w:rsidRPr="00A61288">
              <w:rPr>
                <w:b/>
                <w:bCs/>
                <w:sz w:val="22"/>
                <w:lang w:val="es-ES"/>
              </w:rPr>
              <w:t>delegado de la República Islámica del Irán</w:t>
            </w:r>
            <w:r w:rsidRPr="00A61288">
              <w:rPr>
                <w:sz w:val="22"/>
                <w:lang w:val="es-ES"/>
              </w:rPr>
              <w:t xml:space="preserve"> propone que se incluya en las actas de la Sesión Plenaria una instrucción de la Conferencia a la Oficina que rece lo siguiente: «Por consiguiente, la CMR-19 encarga a la Oficina de Radiocomunicaciones que transmita esta declaración a la Comisión de Estudio del UIT-R pertinente para que adopte las medidas necesarias, según proceda».</w:t>
            </w:r>
          </w:p>
          <w:p w14:paraId="4D9B7E1C" w14:textId="77777777" w:rsidR="00967792" w:rsidRPr="00A61288" w:rsidRDefault="00967792" w:rsidP="00B53355">
            <w:pPr>
              <w:spacing w:before="40" w:after="40"/>
              <w:rPr>
                <w:sz w:val="22"/>
                <w:lang w:val="es-ES"/>
              </w:rPr>
            </w:pPr>
            <w:r w:rsidRPr="00A61288">
              <w:rPr>
                <w:sz w:val="22"/>
                <w:lang w:val="es-ES"/>
              </w:rPr>
              <w:t>27.4</w:t>
            </w:r>
            <w:r w:rsidRPr="00A61288">
              <w:rPr>
                <w:sz w:val="22"/>
                <w:lang w:val="es-ES"/>
              </w:rPr>
              <w:tab/>
              <w:t xml:space="preserve">Así se </w:t>
            </w:r>
            <w:r w:rsidRPr="00A61288">
              <w:rPr>
                <w:b/>
                <w:bCs/>
                <w:sz w:val="22"/>
                <w:lang w:val="es-ES"/>
              </w:rPr>
              <w:t>acuerda</w:t>
            </w:r>
            <w:r w:rsidRPr="00A61288">
              <w:rPr>
                <w:sz w:val="22"/>
                <w:lang w:val="es-ES"/>
              </w:rPr>
              <w:t>.</w:t>
            </w:r>
          </w:p>
          <w:p w14:paraId="3D1E8D49" w14:textId="44743944" w:rsidR="00967792" w:rsidRPr="00A61288" w:rsidRDefault="00967792" w:rsidP="00B53355">
            <w:pPr>
              <w:spacing w:before="40" w:after="40"/>
              <w:rPr>
                <w:sz w:val="22"/>
                <w:lang w:val="es-ES"/>
              </w:rPr>
            </w:pPr>
            <w:r w:rsidRPr="00A61288">
              <w:rPr>
                <w:sz w:val="22"/>
                <w:lang w:val="es-ES"/>
              </w:rPr>
              <w:t>27.5</w:t>
            </w:r>
            <w:r w:rsidRPr="00A61288">
              <w:rPr>
                <w:sz w:val="22"/>
                <w:lang w:val="es-ES"/>
              </w:rPr>
              <w:tab/>
              <w:t xml:space="preserve">Se </w:t>
            </w:r>
            <w:r w:rsidRPr="00A61288">
              <w:rPr>
                <w:b/>
                <w:bCs/>
                <w:sz w:val="22"/>
                <w:lang w:val="es-ES"/>
              </w:rPr>
              <w:t xml:space="preserve">aprueba </w:t>
            </w:r>
            <w:r w:rsidRPr="00A61288">
              <w:rPr>
                <w:sz w:val="22"/>
                <w:lang w:val="es-ES"/>
              </w:rPr>
              <w:t>el</w:t>
            </w:r>
            <w:r w:rsidRPr="00A61288">
              <w:rPr>
                <w:b/>
                <w:bCs/>
                <w:sz w:val="22"/>
                <w:lang w:val="es-ES"/>
              </w:rPr>
              <w:t xml:space="preserve"> </w:t>
            </w:r>
            <w:r w:rsidRPr="00A61288">
              <w:rPr>
                <w:sz w:val="22"/>
                <w:lang w:val="es-ES"/>
              </w:rPr>
              <w:t>Documento 563.</w:t>
            </w:r>
          </w:p>
        </w:tc>
        <w:tc>
          <w:tcPr>
            <w:tcW w:w="1548" w:type="pct"/>
          </w:tcPr>
          <w:p w14:paraId="36A5EB0E" w14:textId="635717BA" w:rsidR="00967792" w:rsidRPr="00A616CA" w:rsidDel="009440F5" w:rsidRDefault="00967792" w:rsidP="00B53355">
            <w:pPr>
              <w:pStyle w:val="Tabletext"/>
              <w:rPr>
                <w:lang w:val="es-ES"/>
              </w:rPr>
            </w:pPr>
            <w:r w:rsidRPr="00A616CA">
              <w:rPr>
                <w:lang w:val="es-ES"/>
              </w:rPr>
              <w:t>–</w:t>
            </w:r>
          </w:p>
        </w:tc>
      </w:tr>
      <w:tr w:rsidR="00967792" w:rsidRPr="00D2027A" w14:paraId="7BE9ABF4" w14:textId="77777777" w:rsidTr="00924C8B">
        <w:trPr>
          <w:jc w:val="center"/>
        </w:trPr>
        <w:tc>
          <w:tcPr>
            <w:tcW w:w="183" w:type="pct"/>
          </w:tcPr>
          <w:p w14:paraId="6E950F7D" w14:textId="5D273813" w:rsidR="00967792" w:rsidRPr="00A616CA" w:rsidRDefault="00967792" w:rsidP="00B53355">
            <w:pPr>
              <w:pStyle w:val="Tabletext"/>
              <w:rPr>
                <w:lang w:val="es-ES"/>
              </w:rPr>
            </w:pPr>
            <w:r w:rsidRPr="00A616CA">
              <w:rPr>
                <w:lang w:val="es-ES"/>
              </w:rPr>
              <w:lastRenderedPageBreak/>
              <w:t>88</w:t>
            </w:r>
          </w:p>
        </w:tc>
        <w:tc>
          <w:tcPr>
            <w:tcW w:w="434" w:type="pct"/>
          </w:tcPr>
          <w:p w14:paraId="67801AE7" w14:textId="1258CB57" w:rsidR="00967792" w:rsidRPr="00A616CA" w:rsidRDefault="00967792" w:rsidP="00B53355">
            <w:pPr>
              <w:pStyle w:val="Tabletext"/>
              <w:rPr>
                <w:lang w:val="es-ES"/>
              </w:rPr>
            </w:pPr>
            <w:r w:rsidRPr="00A616CA">
              <w:rPr>
                <w:lang w:val="es-ES"/>
              </w:rPr>
              <w:t>CMR-19</w:t>
            </w:r>
          </w:p>
        </w:tc>
        <w:tc>
          <w:tcPr>
            <w:tcW w:w="523" w:type="pct"/>
          </w:tcPr>
          <w:p w14:paraId="31968169" w14:textId="56B51073" w:rsidR="00967792" w:rsidRPr="00D2027A" w:rsidRDefault="00967792" w:rsidP="00A61288">
            <w:pPr>
              <w:pStyle w:val="Tabletext"/>
              <w:rPr>
                <w:rFonts w:asciiTheme="majorBidi" w:hAnsiTheme="majorBidi" w:cstheme="majorBidi"/>
                <w:bCs/>
                <w:szCs w:val="24"/>
                <w:lang w:val="es-ES"/>
              </w:rPr>
            </w:pPr>
            <w:r w:rsidRPr="00A61288">
              <w:rPr>
                <w:lang w:val="es-ES"/>
              </w:rPr>
              <w:t>12ª</w:t>
            </w:r>
            <w:r>
              <w:rPr>
                <w:rFonts w:asciiTheme="majorBidi" w:hAnsiTheme="majorBidi" w:cstheme="majorBidi"/>
                <w:bCs/>
                <w:szCs w:val="24"/>
                <w:lang w:val="es-ES"/>
              </w:rPr>
              <w:t xml:space="preserve"> Plenaria</w:t>
            </w:r>
            <w:r w:rsidR="0025704A">
              <w:rPr>
                <w:rFonts w:asciiTheme="majorBidi" w:hAnsiTheme="majorBidi" w:cstheme="majorBidi"/>
                <w:bCs/>
                <w:szCs w:val="24"/>
                <w:lang w:val="es-ES"/>
              </w:rPr>
              <w:br/>
            </w:r>
            <w:r w:rsidR="0025704A" w:rsidRPr="0025704A">
              <w:rPr>
                <w:rFonts w:asciiTheme="majorBidi" w:hAnsiTheme="majorBidi" w:cstheme="majorBidi"/>
                <w:bCs/>
                <w:szCs w:val="24"/>
                <w:lang w:val="es-ES"/>
              </w:rPr>
              <w:t>Doc</w:t>
            </w:r>
            <w:r w:rsidR="0025704A">
              <w:rPr>
                <w:rFonts w:asciiTheme="majorBidi" w:hAnsiTheme="majorBidi" w:cstheme="majorBidi"/>
                <w:bCs/>
                <w:szCs w:val="24"/>
                <w:lang w:val="es-ES"/>
              </w:rPr>
              <w:t>umento</w:t>
            </w:r>
            <w:r>
              <w:rPr>
                <w:rFonts w:asciiTheme="majorBidi" w:hAnsiTheme="majorBidi" w:cstheme="majorBidi"/>
                <w:bCs/>
                <w:szCs w:val="24"/>
                <w:lang w:val="es-ES"/>
              </w:rPr>
              <w:t xml:space="preserve"> </w:t>
            </w:r>
            <w:hyperlink r:id="rId280" w:history="1">
              <w:r w:rsidRPr="00D2027A">
                <w:rPr>
                  <w:rStyle w:val="Hyperlink"/>
                  <w:rFonts w:asciiTheme="majorBidi" w:hAnsiTheme="majorBidi" w:cstheme="majorBidi"/>
                  <w:bCs/>
                  <w:szCs w:val="24"/>
                  <w:lang w:val="es-ES"/>
                </w:rPr>
                <w:t>CMR19/573</w:t>
              </w:r>
            </w:hyperlink>
            <w:r w:rsidRPr="00D2027A">
              <w:rPr>
                <w:rFonts w:asciiTheme="majorBidi" w:hAnsiTheme="majorBidi" w:cstheme="majorBidi"/>
                <w:bCs/>
                <w:szCs w:val="24"/>
                <w:lang w:val="es-ES"/>
              </w:rPr>
              <w:t xml:space="preserve"> </w:t>
            </w:r>
          </w:p>
          <w:p w14:paraId="389510B8" w14:textId="77AEFFFF" w:rsidR="00967792" w:rsidRPr="00D2027A" w:rsidRDefault="00967792" w:rsidP="00451CEF">
            <w:pPr>
              <w:pStyle w:val="Tabletext"/>
              <w:ind w:right="-57"/>
              <w:rPr>
                <w:rFonts w:asciiTheme="majorBidi" w:hAnsiTheme="majorBidi" w:cstheme="majorBidi"/>
                <w:bCs/>
                <w:szCs w:val="24"/>
                <w:lang w:val="es-ES"/>
              </w:rPr>
            </w:pPr>
            <w:r>
              <w:rPr>
                <w:rFonts w:asciiTheme="majorBidi" w:hAnsiTheme="majorBidi" w:cstheme="majorBidi"/>
                <w:bCs/>
                <w:szCs w:val="24"/>
                <w:lang w:val="es-ES"/>
              </w:rPr>
              <w:t>Aprobación del</w:t>
            </w:r>
            <w:r w:rsidRPr="00D2027A">
              <w:rPr>
                <w:rFonts w:asciiTheme="majorBidi" w:hAnsiTheme="majorBidi" w:cstheme="majorBidi"/>
                <w:bCs/>
                <w:szCs w:val="24"/>
                <w:lang w:val="es-ES"/>
              </w:rPr>
              <w:t xml:space="preserve"> Doc</w:t>
            </w:r>
            <w:r>
              <w:rPr>
                <w:rFonts w:asciiTheme="majorBidi" w:hAnsiTheme="majorBidi" w:cstheme="majorBidi"/>
                <w:bCs/>
                <w:szCs w:val="24"/>
                <w:lang w:val="es-ES"/>
              </w:rPr>
              <w:t>umento</w:t>
            </w:r>
            <w:r w:rsidRPr="00D2027A">
              <w:rPr>
                <w:rFonts w:asciiTheme="majorBidi" w:hAnsiTheme="majorBidi" w:cstheme="majorBidi"/>
                <w:bCs/>
                <w:szCs w:val="24"/>
                <w:lang w:val="es-ES"/>
              </w:rPr>
              <w:t xml:space="preserve"> </w:t>
            </w:r>
            <w:hyperlink r:id="rId281" w:history="1">
              <w:r w:rsidRPr="00D2027A">
                <w:rPr>
                  <w:rStyle w:val="Hyperlink"/>
                  <w:rFonts w:asciiTheme="majorBidi" w:hAnsiTheme="majorBidi" w:cstheme="majorBidi"/>
                  <w:bCs/>
                  <w:szCs w:val="24"/>
                  <w:lang w:val="es-ES"/>
                </w:rPr>
                <w:t>CMR19/554</w:t>
              </w:r>
            </w:hyperlink>
            <w:r w:rsidRPr="00D2027A">
              <w:rPr>
                <w:rFonts w:asciiTheme="majorBidi" w:hAnsiTheme="majorBidi" w:cstheme="majorBidi"/>
                <w:bCs/>
                <w:szCs w:val="24"/>
                <w:lang w:val="es-ES"/>
              </w:rPr>
              <w:t xml:space="preserve"> </w:t>
            </w:r>
            <w:r>
              <w:rPr>
                <w:rFonts w:asciiTheme="majorBidi" w:hAnsiTheme="majorBidi" w:cstheme="majorBidi"/>
                <w:bCs/>
                <w:szCs w:val="24"/>
                <w:lang w:val="es-ES"/>
              </w:rPr>
              <w:t>y</w:t>
            </w:r>
            <w:r w:rsidRPr="00D2027A">
              <w:rPr>
                <w:rFonts w:asciiTheme="majorBidi" w:hAnsiTheme="majorBidi" w:cstheme="majorBidi"/>
                <w:bCs/>
                <w:szCs w:val="24"/>
                <w:lang w:val="es-ES"/>
              </w:rPr>
              <w:t xml:space="preserve"> </w:t>
            </w:r>
            <w:r w:rsidRPr="0025704A">
              <w:rPr>
                <w:spacing w:val="-4"/>
                <w:lang w:val="es-ES"/>
              </w:rPr>
              <w:t>Corrigéndum</w:t>
            </w:r>
            <w:r w:rsidRPr="0025704A">
              <w:rPr>
                <w:rFonts w:asciiTheme="majorBidi" w:hAnsiTheme="majorBidi" w:cstheme="majorBidi"/>
                <w:bCs/>
                <w:spacing w:val="-4"/>
                <w:szCs w:val="24"/>
                <w:lang w:val="es-ES"/>
              </w:rPr>
              <w:t xml:space="preserve"> 1</w:t>
            </w:r>
          </w:p>
        </w:tc>
        <w:tc>
          <w:tcPr>
            <w:tcW w:w="2312" w:type="pct"/>
          </w:tcPr>
          <w:p w14:paraId="0FD93E54" w14:textId="77777777" w:rsidR="00967792" w:rsidRPr="00A61288" w:rsidRDefault="00967792" w:rsidP="00B53355">
            <w:pPr>
              <w:spacing w:before="40" w:after="40"/>
              <w:rPr>
                <w:sz w:val="22"/>
                <w:lang w:val="es-ES"/>
              </w:rPr>
            </w:pPr>
            <w:r w:rsidRPr="00A61288">
              <w:rPr>
                <w:sz w:val="22"/>
                <w:lang w:val="es-ES"/>
              </w:rPr>
              <w:t>28.104</w:t>
            </w:r>
            <w:r w:rsidRPr="00A61288">
              <w:rPr>
                <w:sz w:val="22"/>
                <w:lang w:val="es-ES"/>
              </w:rPr>
              <w:tab/>
              <w:t xml:space="preserve">Tras las consultas oficiosas, el </w:t>
            </w:r>
            <w:r w:rsidRPr="00A61288">
              <w:rPr>
                <w:b/>
                <w:bCs/>
                <w:sz w:val="22"/>
                <w:lang w:val="es-ES"/>
              </w:rPr>
              <w:t>Presidente</w:t>
            </w:r>
            <w:r w:rsidRPr="00A61288">
              <w:rPr>
                <w:sz w:val="22"/>
                <w:lang w:val="es-ES"/>
              </w:rPr>
              <w:t xml:space="preserve"> anuncia que se ha llegado a un consenso sobre la supresión del </w:t>
            </w:r>
            <w:r w:rsidRPr="00A61288">
              <w:rPr>
                <w:i/>
                <w:iCs/>
                <w:sz w:val="22"/>
                <w:lang w:val="es-ES"/>
              </w:rPr>
              <w:t>reconociendo d)</w:t>
            </w:r>
            <w:r w:rsidRPr="00A61288">
              <w:rPr>
                <w:sz w:val="22"/>
                <w:lang w:val="es-ES"/>
              </w:rPr>
              <w:t xml:space="preserve"> del proyecto de Resolución COM6/18.</w:t>
            </w:r>
          </w:p>
          <w:p w14:paraId="1C38CD85" w14:textId="77777777" w:rsidR="00967792" w:rsidRPr="00A61288" w:rsidRDefault="00967792" w:rsidP="00B53355">
            <w:pPr>
              <w:spacing w:before="40" w:after="40"/>
              <w:rPr>
                <w:sz w:val="22"/>
                <w:lang w:val="es-ES"/>
              </w:rPr>
            </w:pPr>
            <w:r w:rsidRPr="00A61288">
              <w:rPr>
                <w:sz w:val="22"/>
                <w:lang w:val="es-ES"/>
              </w:rPr>
              <w:t>28.105</w:t>
            </w:r>
            <w:r w:rsidRPr="00A61288">
              <w:rPr>
                <w:sz w:val="22"/>
                <w:lang w:val="es-ES"/>
              </w:rPr>
              <w:tab/>
              <w:t xml:space="preserve">Para atender las preocupaciones de las administraciones que desean mantener la referencia a la banda de frecuencias, el </w:t>
            </w:r>
            <w:r w:rsidRPr="00A61288">
              <w:rPr>
                <w:b/>
                <w:bCs/>
                <w:sz w:val="22"/>
                <w:lang w:val="es-ES"/>
              </w:rPr>
              <w:t>delegado de los Emiratos Árabes Unidos</w:t>
            </w:r>
            <w:r w:rsidRPr="00A61288">
              <w:rPr>
                <w:sz w:val="22"/>
                <w:lang w:val="es-ES"/>
              </w:rPr>
              <w:t xml:space="preserve"> solicita que se consigne en las actas de la reunión el siguiente texto a modo de decisión adoptada por la Conferencia:</w:t>
            </w:r>
          </w:p>
          <w:p w14:paraId="4A313936" w14:textId="77777777" w:rsidR="00967792" w:rsidRPr="00A61288" w:rsidRDefault="00967792" w:rsidP="00B53355">
            <w:pPr>
              <w:spacing w:before="40" w:after="40"/>
              <w:rPr>
                <w:sz w:val="22"/>
                <w:lang w:val="es-ES"/>
              </w:rPr>
            </w:pPr>
            <w:r w:rsidRPr="00A61288">
              <w:rPr>
                <w:sz w:val="22"/>
                <w:lang w:val="es-ES"/>
              </w:rPr>
              <w:t>«En el marco del punto 9.1.x del orden del día, se invita al UIT-R a realizar estudios para identificar las bandas de frecuencias adecuadas para la utilización de las IMT para la banda ancha inalámbrica fija en las bandas de frecuencias atribuidas al servicio fijo a título primario. Por consiguiente, se incluirá en el orden del día de la CMR-27 un punto relativo al examen de estas bandas de frecuencias».</w:t>
            </w:r>
          </w:p>
          <w:p w14:paraId="49AF45E6" w14:textId="11BBA837" w:rsidR="00967792" w:rsidRPr="00A61288" w:rsidRDefault="00967792" w:rsidP="00B53355">
            <w:pPr>
              <w:spacing w:before="40" w:after="40"/>
              <w:rPr>
                <w:sz w:val="22"/>
                <w:lang w:val="es-ES"/>
              </w:rPr>
            </w:pPr>
            <w:r w:rsidRPr="00A61288">
              <w:rPr>
                <w:sz w:val="22"/>
                <w:lang w:val="es-ES"/>
              </w:rPr>
              <w:t>28.106</w:t>
            </w:r>
            <w:r w:rsidRPr="00A61288">
              <w:rPr>
                <w:sz w:val="22"/>
                <w:lang w:val="es-ES"/>
              </w:rPr>
              <w:tab/>
              <w:t xml:space="preserve">Así se </w:t>
            </w:r>
            <w:r w:rsidRPr="00A61288">
              <w:rPr>
                <w:b/>
                <w:bCs/>
                <w:sz w:val="22"/>
                <w:lang w:val="es-ES"/>
              </w:rPr>
              <w:t>acuerda</w:t>
            </w:r>
            <w:r w:rsidRPr="00A61288">
              <w:rPr>
                <w:sz w:val="22"/>
                <w:lang w:val="es-ES"/>
              </w:rPr>
              <w:t>.</w:t>
            </w:r>
          </w:p>
        </w:tc>
        <w:tc>
          <w:tcPr>
            <w:tcW w:w="1548" w:type="pct"/>
          </w:tcPr>
          <w:p w14:paraId="3D9E45D4" w14:textId="4BDFCE80" w:rsidR="00967792" w:rsidRPr="00A616CA" w:rsidDel="009440F5" w:rsidRDefault="00967792" w:rsidP="00B53355">
            <w:pPr>
              <w:pStyle w:val="Tabletext"/>
              <w:rPr>
                <w:lang w:val="es-ES"/>
              </w:rPr>
            </w:pPr>
            <w:r w:rsidRPr="00A616CA">
              <w:rPr>
                <w:lang w:val="es-ES"/>
              </w:rPr>
              <w:t>–</w:t>
            </w:r>
          </w:p>
        </w:tc>
      </w:tr>
      <w:tr w:rsidR="00967792" w:rsidRPr="00707647" w14:paraId="2F4CE84D" w14:textId="77777777" w:rsidTr="00924C8B">
        <w:trPr>
          <w:jc w:val="center"/>
        </w:trPr>
        <w:tc>
          <w:tcPr>
            <w:tcW w:w="183" w:type="pct"/>
          </w:tcPr>
          <w:p w14:paraId="7EFF87D1" w14:textId="104DCB50" w:rsidR="00967792" w:rsidRPr="00A616CA" w:rsidRDefault="00967792" w:rsidP="00B53355">
            <w:pPr>
              <w:pStyle w:val="Tabletext"/>
              <w:rPr>
                <w:lang w:val="es-ES"/>
              </w:rPr>
            </w:pPr>
            <w:r w:rsidRPr="00A616CA">
              <w:rPr>
                <w:lang w:val="es-ES"/>
              </w:rPr>
              <w:t>89</w:t>
            </w:r>
          </w:p>
        </w:tc>
        <w:tc>
          <w:tcPr>
            <w:tcW w:w="434" w:type="pct"/>
          </w:tcPr>
          <w:p w14:paraId="2C0A6B5E" w14:textId="4EB10CDB" w:rsidR="00967792" w:rsidRPr="00A616CA" w:rsidRDefault="00967792" w:rsidP="00B53355">
            <w:pPr>
              <w:pStyle w:val="Tabletext"/>
              <w:rPr>
                <w:lang w:val="es-ES"/>
              </w:rPr>
            </w:pPr>
            <w:r w:rsidRPr="00A616CA">
              <w:rPr>
                <w:lang w:val="es-ES"/>
              </w:rPr>
              <w:t>CMR-19</w:t>
            </w:r>
          </w:p>
        </w:tc>
        <w:tc>
          <w:tcPr>
            <w:tcW w:w="523" w:type="pct"/>
          </w:tcPr>
          <w:p w14:paraId="62975533" w14:textId="4203B06F" w:rsidR="00967792" w:rsidRPr="00D2027A" w:rsidRDefault="00967792" w:rsidP="00A61288">
            <w:pPr>
              <w:pStyle w:val="Tabletext"/>
              <w:rPr>
                <w:rFonts w:asciiTheme="majorBidi" w:hAnsiTheme="majorBidi" w:cstheme="majorBidi"/>
                <w:bCs/>
                <w:szCs w:val="24"/>
                <w:lang w:val="es-ES"/>
              </w:rPr>
            </w:pPr>
            <w:r w:rsidRPr="00A61288">
              <w:rPr>
                <w:lang w:val="es-ES"/>
              </w:rPr>
              <w:t>12ª</w:t>
            </w:r>
            <w:r>
              <w:rPr>
                <w:rFonts w:asciiTheme="majorBidi" w:hAnsiTheme="majorBidi" w:cstheme="majorBidi"/>
                <w:bCs/>
                <w:szCs w:val="24"/>
                <w:lang w:val="es-ES"/>
              </w:rPr>
              <w:t xml:space="preserve"> Plenaria</w:t>
            </w:r>
            <w:r w:rsidR="0025704A">
              <w:rPr>
                <w:rFonts w:asciiTheme="majorBidi" w:hAnsiTheme="majorBidi" w:cstheme="majorBidi"/>
                <w:bCs/>
                <w:szCs w:val="24"/>
                <w:lang w:val="es-ES"/>
              </w:rPr>
              <w:br/>
            </w:r>
            <w:r w:rsidRPr="00D2027A">
              <w:rPr>
                <w:rFonts w:asciiTheme="majorBidi" w:hAnsiTheme="majorBidi" w:cstheme="majorBidi"/>
                <w:bCs/>
                <w:szCs w:val="24"/>
                <w:lang w:val="es-ES"/>
              </w:rPr>
              <w:t>Doc</w:t>
            </w:r>
            <w:r>
              <w:rPr>
                <w:rFonts w:asciiTheme="majorBidi" w:hAnsiTheme="majorBidi" w:cstheme="majorBidi"/>
                <w:bCs/>
                <w:szCs w:val="24"/>
                <w:lang w:val="es-ES"/>
              </w:rPr>
              <w:t>umento</w:t>
            </w:r>
            <w:r w:rsidRPr="00D2027A">
              <w:rPr>
                <w:rFonts w:asciiTheme="majorBidi" w:hAnsiTheme="majorBidi" w:cstheme="majorBidi"/>
                <w:bCs/>
                <w:szCs w:val="24"/>
                <w:lang w:val="es-ES"/>
              </w:rPr>
              <w:t xml:space="preserve"> </w:t>
            </w:r>
            <w:hyperlink r:id="rId282" w:history="1">
              <w:r w:rsidRPr="00D2027A">
                <w:rPr>
                  <w:rStyle w:val="Hyperlink"/>
                  <w:rFonts w:asciiTheme="majorBidi" w:hAnsiTheme="majorBidi" w:cstheme="majorBidi"/>
                  <w:bCs/>
                  <w:szCs w:val="24"/>
                  <w:lang w:val="es-ES"/>
                </w:rPr>
                <w:t>CMR19/573</w:t>
              </w:r>
            </w:hyperlink>
            <w:r w:rsidRPr="00D2027A">
              <w:rPr>
                <w:rFonts w:asciiTheme="majorBidi" w:hAnsiTheme="majorBidi" w:cstheme="majorBidi"/>
                <w:bCs/>
                <w:szCs w:val="24"/>
                <w:lang w:val="es-ES"/>
              </w:rPr>
              <w:t xml:space="preserve"> </w:t>
            </w:r>
          </w:p>
          <w:p w14:paraId="26C5B42A" w14:textId="65D9CBE3" w:rsidR="00967792" w:rsidRPr="00D2027A" w:rsidRDefault="00967792" w:rsidP="00A61288">
            <w:pPr>
              <w:pStyle w:val="Tabletext"/>
              <w:rPr>
                <w:rFonts w:asciiTheme="majorBidi" w:hAnsiTheme="majorBidi" w:cstheme="majorBidi"/>
                <w:bCs/>
                <w:szCs w:val="24"/>
                <w:lang w:val="es-ES"/>
              </w:rPr>
            </w:pPr>
            <w:r>
              <w:rPr>
                <w:rFonts w:asciiTheme="majorBidi" w:hAnsiTheme="majorBidi" w:cstheme="majorBidi"/>
                <w:bCs/>
                <w:szCs w:val="24"/>
                <w:lang w:val="es-ES"/>
              </w:rPr>
              <w:t xml:space="preserve">Aprobación </w:t>
            </w:r>
            <w:r w:rsidRPr="00A61288">
              <w:rPr>
                <w:lang w:val="es-ES"/>
              </w:rPr>
              <w:t>del</w:t>
            </w:r>
            <w:r>
              <w:rPr>
                <w:rFonts w:asciiTheme="majorBidi" w:hAnsiTheme="majorBidi" w:cstheme="majorBidi"/>
                <w:bCs/>
                <w:szCs w:val="24"/>
                <w:lang w:val="es-ES"/>
              </w:rPr>
              <w:t xml:space="preserve"> Documento</w:t>
            </w:r>
            <w:r w:rsidRPr="00D2027A">
              <w:rPr>
                <w:rFonts w:asciiTheme="majorBidi" w:hAnsiTheme="majorBidi" w:cstheme="majorBidi"/>
                <w:bCs/>
                <w:szCs w:val="24"/>
                <w:lang w:val="es-ES"/>
              </w:rPr>
              <w:t xml:space="preserve"> </w:t>
            </w:r>
            <w:hyperlink r:id="rId283" w:history="1">
              <w:r w:rsidRPr="00D2027A">
                <w:rPr>
                  <w:rStyle w:val="Hyperlink"/>
                  <w:rFonts w:asciiTheme="majorBidi" w:hAnsiTheme="majorBidi" w:cstheme="majorBidi"/>
                  <w:bCs/>
                  <w:szCs w:val="24"/>
                  <w:lang w:val="es-ES"/>
                </w:rPr>
                <w:t>CMR19/535</w:t>
              </w:r>
            </w:hyperlink>
          </w:p>
        </w:tc>
        <w:tc>
          <w:tcPr>
            <w:tcW w:w="2312" w:type="pct"/>
          </w:tcPr>
          <w:p w14:paraId="2CAA5E38" w14:textId="77777777" w:rsidR="00967792" w:rsidRPr="00A61288" w:rsidRDefault="00967792" w:rsidP="00B53355">
            <w:pPr>
              <w:spacing w:before="40" w:after="40"/>
              <w:rPr>
                <w:sz w:val="22"/>
                <w:lang w:val="es-ES"/>
              </w:rPr>
            </w:pPr>
            <w:r w:rsidRPr="00A61288">
              <w:rPr>
                <w:sz w:val="22"/>
                <w:lang w:val="es-ES"/>
              </w:rPr>
              <w:t>35.2</w:t>
            </w:r>
            <w:r w:rsidRPr="00A61288">
              <w:rPr>
                <w:sz w:val="22"/>
                <w:lang w:val="es-ES"/>
              </w:rPr>
              <w:tab/>
              <w:t xml:space="preserve">El </w:t>
            </w:r>
            <w:r w:rsidRPr="00A61288">
              <w:rPr>
                <w:b/>
                <w:bCs/>
                <w:sz w:val="22"/>
                <w:lang w:val="es-ES"/>
              </w:rPr>
              <w:t>Presidente</w:t>
            </w:r>
            <w:r w:rsidRPr="00A61288">
              <w:rPr>
                <w:sz w:val="22"/>
                <w:lang w:val="es-ES"/>
              </w:rPr>
              <w:t xml:space="preserve"> invita a los participantes a retomar el Documento 535, cuyo examen se había aplazado antes en espera de la aprobación del Documento 555. Se propone aprobar el siguiente texto, contenido en el documento, para su inclusión en las actas de la Sesión Plenaria a modo de decisión de la Conferencia:</w:t>
            </w:r>
          </w:p>
          <w:p w14:paraId="1EED4384" w14:textId="1EDE9C6A" w:rsidR="00967792" w:rsidRPr="00A61288" w:rsidRDefault="00967792" w:rsidP="00B53355">
            <w:pPr>
              <w:spacing w:before="40" w:after="40"/>
              <w:rPr>
                <w:b/>
                <w:sz w:val="22"/>
                <w:lang w:val="es-ES"/>
              </w:rPr>
            </w:pPr>
            <w:r w:rsidRPr="00A61288">
              <w:rPr>
                <w:b/>
                <w:sz w:val="22"/>
                <w:lang w:val="es-ES"/>
              </w:rPr>
              <w:t>«Aplicación de las Reglas de Procedimiento del número 9.11A del</w:t>
            </w:r>
            <w:r w:rsidR="0025704A">
              <w:rPr>
                <w:b/>
                <w:sz w:val="22"/>
                <w:lang w:val="es-ES"/>
              </w:rPr>
              <w:t> </w:t>
            </w:r>
            <w:r w:rsidRPr="00A61288">
              <w:rPr>
                <w:b/>
                <w:sz w:val="22"/>
                <w:lang w:val="es-ES"/>
              </w:rPr>
              <w:t>RR</w:t>
            </w:r>
          </w:p>
          <w:p w14:paraId="0F43E923" w14:textId="77777777" w:rsidR="00967792" w:rsidRPr="00A61288" w:rsidRDefault="00967792" w:rsidP="00B53355">
            <w:pPr>
              <w:spacing w:before="40" w:after="40"/>
              <w:rPr>
                <w:sz w:val="22"/>
                <w:lang w:val="es-ES"/>
              </w:rPr>
            </w:pPr>
            <w:r w:rsidRPr="00A61288">
              <w:rPr>
                <w:sz w:val="22"/>
                <w:lang w:val="es-ES"/>
              </w:rPr>
              <w:t xml:space="preserve">Se propone que el número </w:t>
            </w:r>
            <w:r w:rsidRPr="00A61288">
              <w:rPr>
                <w:b/>
                <w:bCs/>
                <w:sz w:val="22"/>
                <w:lang w:val="es-ES"/>
              </w:rPr>
              <w:t>9.12</w:t>
            </w:r>
            <w:r w:rsidRPr="00A61288">
              <w:rPr>
                <w:sz w:val="22"/>
                <w:lang w:val="es-ES"/>
              </w:rPr>
              <w:t xml:space="preserve"> del RR no se aplique a las asignaciones de frecuencias a estaciones que funcionan en los servicios de investigación espacial y de exploración de la Tierra por satélite. Por consiguiente, se solicita a la Oficina en virtud de la Regla de Procedimiento sobre el número </w:t>
            </w:r>
            <w:r w:rsidRPr="00A61288">
              <w:rPr>
                <w:b/>
                <w:bCs/>
                <w:sz w:val="22"/>
                <w:lang w:val="es-ES"/>
              </w:rPr>
              <w:t>9.11A</w:t>
            </w:r>
            <w:r w:rsidRPr="00A61288">
              <w:rPr>
                <w:sz w:val="22"/>
                <w:lang w:val="es-ES"/>
              </w:rPr>
              <w:t xml:space="preserve"> que no aplique la coordinación con arreglo al número </w:t>
            </w:r>
            <w:r w:rsidRPr="00A61288">
              <w:rPr>
                <w:b/>
                <w:bCs/>
                <w:sz w:val="22"/>
                <w:lang w:val="es-ES"/>
              </w:rPr>
              <w:t>9.12</w:t>
            </w:r>
            <w:r w:rsidRPr="00A61288">
              <w:rPr>
                <w:sz w:val="22"/>
                <w:lang w:val="es-ES"/>
              </w:rPr>
              <w:t xml:space="preserve"> del RR a las asignaciones de frecuencias a estaciones que funcionen en los servicios de investigación espacial y de exploración de la Tierra por satélite en aplicación de los números </w:t>
            </w:r>
            <w:r w:rsidRPr="00A61288">
              <w:rPr>
                <w:b/>
                <w:bCs/>
                <w:sz w:val="22"/>
                <w:lang w:val="es-ES"/>
              </w:rPr>
              <w:t>5.A16</w:t>
            </w:r>
            <w:r w:rsidRPr="00A61288">
              <w:rPr>
                <w:sz w:val="22"/>
                <w:lang w:val="es-ES"/>
              </w:rPr>
              <w:t xml:space="preserve"> y </w:t>
            </w:r>
            <w:r w:rsidRPr="00A61288">
              <w:rPr>
                <w:b/>
                <w:bCs/>
                <w:sz w:val="22"/>
                <w:lang w:val="es-ES"/>
              </w:rPr>
              <w:t>5.B16</w:t>
            </w:r>
            <w:r w:rsidRPr="00A61288">
              <w:rPr>
                <w:sz w:val="22"/>
                <w:lang w:val="es-ES"/>
              </w:rPr>
              <w:t xml:space="preserve"> del RR.</w:t>
            </w:r>
          </w:p>
          <w:p w14:paraId="3B539073" w14:textId="77777777" w:rsidR="00967792" w:rsidRPr="00A61288" w:rsidRDefault="00967792" w:rsidP="00B53355">
            <w:pPr>
              <w:spacing w:before="40" w:after="40"/>
              <w:rPr>
                <w:b/>
                <w:sz w:val="22"/>
                <w:lang w:val="es-ES"/>
              </w:rPr>
            </w:pPr>
            <w:r w:rsidRPr="00A61288">
              <w:rPr>
                <w:b/>
                <w:sz w:val="22"/>
                <w:lang w:val="es-ES"/>
              </w:rPr>
              <w:t>Protección del SETS en la banda de frecuencias 36-37 GHz</w:t>
            </w:r>
          </w:p>
          <w:p w14:paraId="0FD9501D" w14:textId="77777777" w:rsidR="00967792" w:rsidRPr="00A61288" w:rsidRDefault="00967792" w:rsidP="00B53355">
            <w:pPr>
              <w:spacing w:before="40" w:after="40"/>
              <w:rPr>
                <w:sz w:val="22"/>
                <w:lang w:val="es-ES"/>
              </w:rPr>
            </w:pPr>
            <w:r w:rsidRPr="00A61288">
              <w:rPr>
                <w:sz w:val="22"/>
                <w:lang w:val="es-ES"/>
              </w:rPr>
              <w:lastRenderedPageBreak/>
              <w:t>En el marco de los estudios considerados sobre el punto 1.6 del orden del día de la CMR-19, se presentó al UIT-R un estudio preliminar sobre la protección de los sensores del SETS (pasivo) que funcionan en la banda de frecuencias 36-37 GHz. Este estudio preliminar indicó que puede ser necesario no sobrepasar un valor de la p.i.r.e. fuera de banda de –34 dBW/100 MHz para todo ángulo superior a 71,4 grados desde el nadir, para estaciones espaciales no OSG del SFS que funcionen en la banda de frecuencias 37,5-38 GHz. Además, no se ha estudiado la interferencia sobre el canal de calibración fría del sensor del SETS (pasivo) en la banda de frecuencias 36</w:t>
            </w:r>
            <w:r w:rsidRPr="00A61288">
              <w:rPr>
                <w:sz w:val="22"/>
                <w:lang w:val="es-ES"/>
              </w:rPr>
              <w:noBreakHyphen/>
              <w:t>37 GHz.</w:t>
            </w:r>
          </w:p>
          <w:p w14:paraId="1EE33530" w14:textId="77777777" w:rsidR="00967792" w:rsidRPr="00A61288" w:rsidRDefault="00967792" w:rsidP="00B53355">
            <w:pPr>
              <w:spacing w:before="40" w:after="40"/>
              <w:rPr>
                <w:sz w:val="22"/>
                <w:lang w:val="es-ES"/>
              </w:rPr>
            </w:pPr>
            <w:r w:rsidRPr="00A61288">
              <w:rPr>
                <w:sz w:val="22"/>
                <w:lang w:val="es-ES"/>
              </w:rPr>
              <w:t>La CMR-19 invita al UIT-R a que realice estudios adicionales sobre este asunto y elabore Recomendaciones y/o Informes, según convenga, y que informe a la CMR-23 a fin de adoptar medidas en caso de ser necesario.</w:t>
            </w:r>
          </w:p>
          <w:p w14:paraId="0D7C4550" w14:textId="47F7205A" w:rsidR="00967792" w:rsidRPr="00A61288" w:rsidRDefault="00967792" w:rsidP="00B53355">
            <w:pPr>
              <w:spacing w:before="40" w:after="40"/>
              <w:rPr>
                <w:sz w:val="22"/>
                <w:lang w:val="es-ES"/>
              </w:rPr>
            </w:pPr>
            <w:r w:rsidRPr="00A61288">
              <w:rPr>
                <w:sz w:val="22"/>
                <w:lang w:val="es-ES"/>
              </w:rPr>
              <w:t>Además, la CMR-19 acordó que las modificaciones a la Resolución</w:t>
            </w:r>
            <w:r w:rsidR="00F65386">
              <w:rPr>
                <w:sz w:val="22"/>
                <w:lang w:val="es-ES"/>
              </w:rPr>
              <w:t> </w:t>
            </w:r>
            <w:r w:rsidRPr="00A61288">
              <w:rPr>
                <w:b/>
                <w:bCs/>
                <w:sz w:val="22"/>
                <w:lang w:val="es-ES"/>
              </w:rPr>
              <w:t xml:space="preserve">750 (Rev.CMR-19) </w:t>
            </w:r>
            <w:r w:rsidRPr="00A61288">
              <w:rPr>
                <w:sz w:val="22"/>
                <w:lang w:val="es-ES"/>
              </w:rPr>
              <w:t xml:space="preserve">no deberían considerar esos estudios dado que en el número </w:t>
            </w:r>
            <w:r w:rsidRPr="00A61288">
              <w:rPr>
                <w:b/>
                <w:bCs/>
                <w:sz w:val="22"/>
                <w:lang w:val="es-ES"/>
              </w:rPr>
              <w:t>5.340</w:t>
            </w:r>
            <w:r w:rsidRPr="00A61288">
              <w:rPr>
                <w:sz w:val="22"/>
                <w:lang w:val="es-ES"/>
              </w:rPr>
              <w:t xml:space="preserve"> no se hace referencia a la banda de frecuencias 36</w:t>
            </w:r>
            <w:r w:rsidR="00F65386">
              <w:rPr>
                <w:sz w:val="22"/>
                <w:lang w:val="es-ES"/>
              </w:rPr>
              <w:noBreakHyphen/>
            </w:r>
            <w:r w:rsidRPr="00A61288">
              <w:rPr>
                <w:sz w:val="22"/>
                <w:lang w:val="es-ES"/>
              </w:rPr>
              <w:t>37</w:t>
            </w:r>
            <w:r w:rsidR="00F65386">
              <w:rPr>
                <w:sz w:val="22"/>
                <w:lang w:val="es-ES"/>
              </w:rPr>
              <w:t> </w:t>
            </w:r>
            <w:r w:rsidRPr="00A61288">
              <w:rPr>
                <w:sz w:val="22"/>
                <w:lang w:val="es-ES"/>
              </w:rPr>
              <w:t>GHz».</w:t>
            </w:r>
          </w:p>
          <w:p w14:paraId="737BBD7D" w14:textId="77777777" w:rsidR="00967792" w:rsidRPr="00A61288" w:rsidRDefault="00967792" w:rsidP="00B53355">
            <w:pPr>
              <w:spacing w:before="40" w:after="40"/>
              <w:rPr>
                <w:sz w:val="22"/>
                <w:lang w:val="es-ES"/>
              </w:rPr>
            </w:pPr>
            <w:r w:rsidRPr="00A61288">
              <w:rPr>
                <w:sz w:val="22"/>
                <w:lang w:val="es-ES"/>
              </w:rPr>
              <w:t>35.3</w:t>
            </w:r>
            <w:r w:rsidRPr="00A61288">
              <w:rPr>
                <w:sz w:val="22"/>
                <w:lang w:val="es-ES"/>
              </w:rPr>
              <w:tab/>
              <w:t xml:space="preserve">Así se </w:t>
            </w:r>
            <w:r w:rsidRPr="00A61288">
              <w:rPr>
                <w:b/>
                <w:bCs/>
                <w:sz w:val="22"/>
                <w:lang w:val="es-ES"/>
              </w:rPr>
              <w:t>acuerda</w:t>
            </w:r>
            <w:r w:rsidRPr="00A61288">
              <w:rPr>
                <w:sz w:val="22"/>
                <w:lang w:val="es-ES"/>
              </w:rPr>
              <w:t>.</w:t>
            </w:r>
          </w:p>
          <w:p w14:paraId="099D7FE2" w14:textId="45D2BF55" w:rsidR="00967792" w:rsidRPr="00A61288" w:rsidRDefault="00967792" w:rsidP="00B53355">
            <w:pPr>
              <w:spacing w:before="40" w:after="40"/>
              <w:rPr>
                <w:sz w:val="22"/>
                <w:lang w:val="es-ES"/>
              </w:rPr>
            </w:pPr>
            <w:r w:rsidRPr="00A61288">
              <w:rPr>
                <w:sz w:val="22"/>
                <w:lang w:val="es-ES"/>
              </w:rPr>
              <w:t>35.4</w:t>
            </w:r>
            <w:r w:rsidRPr="00A61288">
              <w:rPr>
                <w:sz w:val="22"/>
                <w:lang w:val="es-ES"/>
              </w:rPr>
              <w:tab/>
              <w:t xml:space="preserve">Se </w:t>
            </w:r>
            <w:r w:rsidRPr="00A61288">
              <w:rPr>
                <w:b/>
                <w:bCs/>
                <w:sz w:val="22"/>
                <w:lang w:val="es-ES"/>
              </w:rPr>
              <w:t>aprueba</w:t>
            </w:r>
            <w:r w:rsidRPr="00A61288">
              <w:rPr>
                <w:sz w:val="22"/>
                <w:lang w:val="es-ES"/>
              </w:rPr>
              <w:t xml:space="preserve"> el Documento 535.</w:t>
            </w:r>
          </w:p>
        </w:tc>
        <w:tc>
          <w:tcPr>
            <w:tcW w:w="1548" w:type="pct"/>
          </w:tcPr>
          <w:p w14:paraId="7B8EC5F3" w14:textId="33BF3984" w:rsidR="00967792" w:rsidRPr="00707647" w:rsidDel="009440F5" w:rsidRDefault="00967792" w:rsidP="00B53355">
            <w:pPr>
              <w:pStyle w:val="Tabletext"/>
              <w:rPr>
                <w:rFonts w:asciiTheme="majorBidi" w:hAnsiTheme="majorBidi" w:cstheme="majorBidi"/>
                <w:szCs w:val="24"/>
                <w:lang w:val="es-ES"/>
              </w:rPr>
            </w:pPr>
            <w:r w:rsidRPr="00707647">
              <w:rPr>
                <w:rFonts w:asciiTheme="majorBidi" w:hAnsiTheme="majorBidi" w:cstheme="majorBidi"/>
                <w:bCs/>
                <w:lang w:val="es-ES"/>
              </w:rPr>
              <w:lastRenderedPageBreak/>
              <w:t>La Junta aprueba la modificación de la Re</w:t>
            </w:r>
            <w:r>
              <w:rPr>
                <w:rFonts w:asciiTheme="majorBidi" w:hAnsiTheme="majorBidi" w:cstheme="majorBidi"/>
                <w:bCs/>
                <w:lang w:val="es-ES"/>
              </w:rPr>
              <w:t>gla de Procedimiento correspondiente al núm</w:t>
            </w:r>
            <w:r w:rsidR="00A61288">
              <w:rPr>
                <w:rFonts w:asciiTheme="majorBidi" w:hAnsiTheme="majorBidi" w:cstheme="majorBidi"/>
                <w:bCs/>
                <w:lang w:val="es-ES"/>
              </w:rPr>
              <w:t>ero </w:t>
            </w:r>
            <w:r w:rsidRPr="00040416">
              <w:rPr>
                <w:rFonts w:asciiTheme="majorBidi" w:hAnsiTheme="majorBidi" w:cstheme="majorBidi"/>
                <w:b/>
                <w:lang w:val="es-ES"/>
              </w:rPr>
              <w:t>9.11A</w:t>
            </w:r>
            <w:r>
              <w:rPr>
                <w:rFonts w:asciiTheme="majorBidi" w:hAnsiTheme="majorBidi" w:cstheme="majorBidi"/>
                <w:bCs/>
                <w:lang w:val="es-ES"/>
              </w:rPr>
              <w:t xml:space="preserve"> y Cuadro</w:t>
            </w:r>
            <w:r w:rsidRPr="00707647">
              <w:rPr>
                <w:rFonts w:asciiTheme="majorBidi" w:hAnsiTheme="majorBidi" w:cstheme="majorBidi"/>
                <w:bCs/>
                <w:lang w:val="es-ES"/>
              </w:rPr>
              <w:t xml:space="preserve"> </w:t>
            </w:r>
            <w:r w:rsidRPr="00707647">
              <w:rPr>
                <w:rFonts w:asciiTheme="majorBidi" w:hAnsiTheme="majorBidi" w:cstheme="majorBidi"/>
                <w:b/>
                <w:bCs/>
                <w:lang w:val="es-ES"/>
              </w:rPr>
              <w:t>9.11A</w:t>
            </w:r>
            <w:r w:rsidRPr="00707647">
              <w:rPr>
                <w:rFonts w:asciiTheme="majorBidi" w:hAnsiTheme="majorBidi" w:cstheme="majorBidi"/>
                <w:bCs/>
                <w:lang w:val="es-ES"/>
              </w:rPr>
              <w:t xml:space="preserve"> </w:t>
            </w:r>
            <w:r>
              <w:rPr>
                <w:rFonts w:asciiTheme="majorBidi" w:hAnsiTheme="majorBidi" w:cstheme="majorBidi"/>
                <w:bCs/>
                <w:lang w:val="es-ES"/>
              </w:rPr>
              <w:t>del RR en su</w:t>
            </w:r>
            <w:r w:rsidRPr="00707647">
              <w:rPr>
                <w:rFonts w:asciiTheme="majorBidi" w:hAnsiTheme="majorBidi" w:cstheme="majorBidi"/>
                <w:bCs/>
                <w:lang w:val="es-ES"/>
              </w:rPr>
              <w:t xml:space="preserve"> 84</w:t>
            </w:r>
            <w:r>
              <w:rPr>
                <w:rFonts w:asciiTheme="majorBidi" w:hAnsiTheme="majorBidi" w:cstheme="majorBidi"/>
                <w:bCs/>
                <w:lang w:val="es-ES"/>
              </w:rPr>
              <w:t>ª</w:t>
            </w:r>
            <w:r w:rsidR="00A61288">
              <w:rPr>
                <w:rFonts w:asciiTheme="majorBidi" w:hAnsiTheme="majorBidi" w:cstheme="majorBidi"/>
                <w:bCs/>
                <w:lang w:val="es-ES"/>
              </w:rPr>
              <w:t> </w:t>
            </w:r>
            <w:r>
              <w:rPr>
                <w:rFonts w:asciiTheme="majorBidi" w:hAnsiTheme="majorBidi" w:cstheme="majorBidi"/>
                <w:bCs/>
                <w:lang w:val="es-ES"/>
              </w:rPr>
              <w:t>reunión</w:t>
            </w:r>
            <w:r w:rsidRPr="00707647">
              <w:rPr>
                <w:rFonts w:asciiTheme="majorBidi" w:hAnsiTheme="majorBidi" w:cstheme="majorBidi"/>
                <w:bCs/>
                <w:lang w:val="es-ES"/>
              </w:rPr>
              <w:t xml:space="preserve"> (</w:t>
            </w:r>
            <w:hyperlink r:id="rId284" w:history="1">
              <w:r w:rsidRPr="00707647">
                <w:rPr>
                  <w:rStyle w:val="Hyperlink"/>
                  <w:rFonts w:asciiTheme="majorBidi" w:hAnsiTheme="majorBidi" w:cstheme="majorBidi"/>
                  <w:bCs/>
                  <w:lang w:val="es-ES"/>
                </w:rPr>
                <w:t>CR/465</w:t>
              </w:r>
            </w:hyperlink>
            <w:r w:rsidRPr="00707647">
              <w:rPr>
                <w:rFonts w:asciiTheme="majorBidi" w:hAnsiTheme="majorBidi" w:cstheme="majorBidi"/>
                <w:bCs/>
                <w:lang w:val="es-ES"/>
              </w:rPr>
              <w:t>).</w:t>
            </w:r>
          </w:p>
        </w:tc>
      </w:tr>
      <w:tr w:rsidR="00967792" w:rsidRPr="00040416" w14:paraId="5D47F6FF" w14:textId="77777777" w:rsidTr="00924C8B">
        <w:trPr>
          <w:jc w:val="center"/>
        </w:trPr>
        <w:tc>
          <w:tcPr>
            <w:tcW w:w="183" w:type="pct"/>
          </w:tcPr>
          <w:p w14:paraId="1F428473" w14:textId="04DF87AC" w:rsidR="00967792" w:rsidRPr="00A616CA" w:rsidRDefault="00967792" w:rsidP="00B53355">
            <w:pPr>
              <w:pStyle w:val="Tabletext"/>
              <w:rPr>
                <w:lang w:val="es-ES"/>
              </w:rPr>
            </w:pPr>
            <w:r w:rsidRPr="00A616CA">
              <w:rPr>
                <w:lang w:val="es-ES"/>
              </w:rPr>
              <w:t>90</w:t>
            </w:r>
          </w:p>
        </w:tc>
        <w:tc>
          <w:tcPr>
            <w:tcW w:w="434" w:type="pct"/>
          </w:tcPr>
          <w:p w14:paraId="55DFE5CD" w14:textId="63F37EF1" w:rsidR="00967792" w:rsidRPr="00A616CA" w:rsidRDefault="00967792" w:rsidP="00B53355">
            <w:pPr>
              <w:pStyle w:val="Tabletext"/>
              <w:rPr>
                <w:lang w:val="es-ES"/>
              </w:rPr>
            </w:pPr>
            <w:r w:rsidRPr="00A616CA">
              <w:rPr>
                <w:lang w:val="es-ES"/>
              </w:rPr>
              <w:t>CMR-19</w:t>
            </w:r>
          </w:p>
        </w:tc>
        <w:tc>
          <w:tcPr>
            <w:tcW w:w="523" w:type="pct"/>
          </w:tcPr>
          <w:p w14:paraId="66C3624A" w14:textId="1AC30A90" w:rsidR="00967792" w:rsidRPr="00D2027A" w:rsidRDefault="00967792" w:rsidP="00A61288">
            <w:pPr>
              <w:pStyle w:val="Tabletext"/>
              <w:rPr>
                <w:rFonts w:asciiTheme="majorBidi" w:hAnsiTheme="majorBidi" w:cstheme="majorBidi"/>
                <w:bCs/>
                <w:szCs w:val="24"/>
                <w:lang w:val="es-ES"/>
              </w:rPr>
            </w:pPr>
            <w:r w:rsidRPr="00D2027A">
              <w:rPr>
                <w:rFonts w:asciiTheme="majorBidi" w:hAnsiTheme="majorBidi" w:cstheme="majorBidi"/>
                <w:bCs/>
                <w:szCs w:val="24"/>
                <w:lang w:val="es-ES"/>
              </w:rPr>
              <w:t>14</w:t>
            </w:r>
            <w:r>
              <w:rPr>
                <w:rFonts w:asciiTheme="majorBidi" w:hAnsiTheme="majorBidi" w:cstheme="majorBidi"/>
                <w:bCs/>
                <w:szCs w:val="24"/>
                <w:lang w:val="es-ES"/>
              </w:rPr>
              <w:t>ª Plenaria</w:t>
            </w:r>
            <w:r w:rsidR="0025704A">
              <w:rPr>
                <w:rFonts w:asciiTheme="majorBidi" w:hAnsiTheme="majorBidi" w:cstheme="majorBidi"/>
                <w:bCs/>
                <w:szCs w:val="24"/>
                <w:lang w:val="es-ES"/>
              </w:rPr>
              <w:br/>
            </w:r>
            <w:r w:rsidRPr="00D2027A">
              <w:rPr>
                <w:rFonts w:asciiTheme="majorBidi" w:hAnsiTheme="majorBidi" w:cstheme="majorBidi"/>
                <w:bCs/>
                <w:szCs w:val="24"/>
                <w:lang w:val="es-ES"/>
              </w:rPr>
              <w:t>Do</w:t>
            </w:r>
            <w:r>
              <w:rPr>
                <w:rFonts w:asciiTheme="majorBidi" w:hAnsiTheme="majorBidi" w:cstheme="majorBidi"/>
                <w:bCs/>
                <w:szCs w:val="24"/>
                <w:lang w:val="es-ES"/>
              </w:rPr>
              <w:t>cumento</w:t>
            </w:r>
            <w:r w:rsidRPr="00D2027A">
              <w:rPr>
                <w:rFonts w:asciiTheme="majorBidi" w:hAnsiTheme="majorBidi" w:cstheme="majorBidi"/>
                <w:bCs/>
                <w:szCs w:val="24"/>
                <w:lang w:val="es-ES"/>
              </w:rPr>
              <w:t xml:space="preserve"> </w:t>
            </w:r>
            <w:hyperlink r:id="rId285" w:history="1">
              <w:r w:rsidRPr="00D2027A">
                <w:rPr>
                  <w:rStyle w:val="Hyperlink"/>
                  <w:rFonts w:asciiTheme="majorBidi" w:hAnsiTheme="majorBidi" w:cstheme="majorBidi"/>
                  <w:bCs/>
                  <w:szCs w:val="24"/>
                  <w:lang w:val="es-ES"/>
                </w:rPr>
                <w:t>CMR19/575</w:t>
              </w:r>
            </w:hyperlink>
            <w:r w:rsidRPr="00D2027A">
              <w:rPr>
                <w:rFonts w:asciiTheme="majorBidi" w:hAnsiTheme="majorBidi" w:cstheme="majorBidi"/>
                <w:bCs/>
                <w:szCs w:val="24"/>
                <w:lang w:val="es-ES"/>
              </w:rPr>
              <w:t xml:space="preserve"> </w:t>
            </w:r>
          </w:p>
          <w:p w14:paraId="097FC1E4" w14:textId="262968FC" w:rsidR="00967792" w:rsidRPr="00D2027A" w:rsidRDefault="00967792" w:rsidP="00A61288">
            <w:pPr>
              <w:pStyle w:val="Tabletext"/>
              <w:rPr>
                <w:rFonts w:asciiTheme="majorBidi" w:hAnsiTheme="majorBidi" w:cstheme="majorBidi"/>
                <w:bCs/>
                <w:szCs w:val="24"/>
                <w:lang w:val="es-ES"/>
              </w:rPr>
            </w:pPr>
            <w:r>
              <w:rPr>
                <w:rFonts w:asciiTheme="majorBidi" w:hAnsiTheme="majorBidi" w:cstheme="majorBidi"/>
                <w:bCs/>
                <w:szCs w:val="24"/>
                <w:lang w:val="es-ES"/>
              </w:rPr>
              <w:t>Aprobación del Documento</w:t>
            </w:r>
            <w:r w:rsidRPr="00D2027A">
              <w:rPr>
                <w:rFonts w:asciiTheme="majorBidi" w:hAnsiTheme="majorBidi" w:cstheme="majorBidi"/>
                <w:bCs/>
                <w:szCs w:val="24"/>
                <w:lang w:val="es-ES"/>
              </w:rPr>
              <w:t xml:space="preserve"> </w:t>
            </w:r>
            <w:hyperlink r:id="rId286" w:history="1">
              <w:r w:rsidRPr="00D2027A">
                <w:rPr>
                  <w:rStyle w:val="Hyperlink"/>
                  <w:rFonts w:asciiTheme="majorBidi" w:hAnsiTheme="majorBidi" w:cstheme="majorBidi"/>
                  <w:bCs/>
                  <w:szCs w:val="24"/>
                  <w:lang w:val="es-ES"/>
                </w:rPr>
                <w:t>CMR19/566</w:t>
              </w:r>
            </w:hyperlink>
          </w:p>
        </w:tc>
        <w:tc>
          <w:tcPr>
            <w:tcW w:w="2312" w:type="pct"/>
          </w:tcPr>
          <w:p w14:paraId="29D7294C" w14:textId="77777777" w:rsidR="00967792" w:rsidRPr="00A61288" w:rsidRDefault="00967792" w:rsidP="00B53355">
            <w:pPr>
              <w:spacing w:before="40" w:after="40"/>
              <w:rPr>
                <w:sz w:val="22"/>
                <w:lang w:val="es-ES"/>
              </w:rPr>
            </w:pPr>
            <w:r w:rsidRPr="00A61288">
              <w:rPr>
                <w:sz w:val="22"/>
                <w:lang w:val="es-ES"/>
              </w:rPr>
              <w:t>3.1</w:t>
            </w:r>
            <w:r w:rsidRPr="00A61288">
              <w:rPr>
                <w:sz w:val="22"/>
                <w:lang w:val="es-ES"/>
              </w:rPr>
              <w:tab/>
              <w:t xml:space="preserve">El </w:t>
            </w:r>
            <w:r w:rsidRPr="00A61288">
              <w:rPr>
                <w:b/>
                <w:sz w:val="22"/>
                <w:lang w:val="es-ES"/>
              </w:rPr>
              <w:t>Presidente de la Comisión 7</w:t>
            </w:r>
            <w:r w:rsidRPr="00A61288">
              <w:rPr>
                <w:sz w:val="22"/>
                <w:lang w:val="es-ES"/>
              </w:rPr>
              <w:t xml:space="preserve"> presenta el Documento 566, recuerda el procedimiento expuesto en el Documento 130 acerca del tratamiento de las correcciones editoriales al Reglamento de Radiocomunicaciones y pide el acuerdo de la Conferencia para autorizar al Director de la BR a que proceda a incluir las correcciones señaladas en los Documentos 203 (Comisión 4), 340 (Comisión 5), y 212 y 336 (Comisión 6).</w:t>
            </w:r>
          </w:p>
          <w:p w14:paraId="3E580E4B" w14:textId="77777777" w:rsidR="00967792" w:rsidRPr="00A61288" w:rsidRDefault="00967792" w:rsidP="00B53355">
            <w:pPr>
              <w:spacing w:before="40" w:after="40"/>
              <w:rPr>
                <w:sz w:val="22"/>
                <w:lang w:val="es-ES"/>
              </w:rPr>
            </w:pPr>
            <w:r w:rsidRPr="00A61288">
              <w:rPr>
                <w:sz w:val="22"/>
                <w:lang w:val="es-ES"/>
              </w:rPr>
              <w:t>3.2</w:t>
            </w:r>
            <w:r w:rsidRPr="00A61288">
              <w:rPr>
                <w:sz w:val="22"/>
                <w:lang w:val="es-ES"/>
              </w:rPr>
              <w:tab/>
              <w:t xml:space="preserve">El </w:t>
            </w:r>
            <w:r w:rsidRPr="00A61288">
              <w:rPr>
                <w:b/>
                <w:bCs/>
                <w:sz w:val="22"/>
                <w:lang w:val="es-ES"/>
              </w:rPr>
              <w:t>Presidente de la Comisión</w:t>
            </w:r>
            <w:r w:rsidRPr="00A61288">
              <w:rPr>
                <w:b/>
                <w:sz w:val="22"/>
                <w:lang w:val="es-ES"/>
              </w:rPr>
              <w:t> 5</w:t>
            </w:r>
            <w:r w:rsidRPr="00A61288">
              <w:rPr>
                <w:sz w:val="22"/>
                <w:lang w:val="es-ES"/>
              </w:rPr>
              <w:t xml:space="preserve"> dice que el mismo tratamiento han de recibir las correcciones indicadas en el Documento 456.</w:t>
            </w:r>
          </w:p>
          <w:p w14:paraId="53292A3D" w14:textId="77777777" w:rsidR="00967792" w:rsidRPr="00A61288" w:rsidRDefault="00967792" w:rsidP="00B53355">
            <w:pPr>
              <w:spacing w:before="40" w:after="40"/>
              <w:rPr>
                <w:sz w:val="22"/>
                <w:lang w:val="es-ES"/>
              </w:rPr>
            </w:pPr>
            <w:r w:rsidRPr="00A61288">
              <w:rPr>
                <w:sz w:val="22"/>
                <w:lang w:val="es-ES"/>
              </w:rPr>
              <w:t>3.3</w:t>
            </w:r>
            <w:r w:rsidRPr="00A61288">
              <w:rPr>
                <w:sz w:val="22"/>
                <w:lang w:val="es-ES"/>
              </w:rPr>
              <w:tab/>
              <w:t xml:space="preserve">El </w:t>
            </w:r>
            <w:r w:rsidRPr="00A61288">
              <w:rPr>
                <w:b/>
                <w:bCs/>
                <w:sz w:val="22"/>
                <w:lang w:val="es-ES"/>
              </w:rPr>
              <w:t xml:space="preserve">delegado de la República Islámica del Irán </w:t>
            </w:r>
            <w:r w:rsidRPr="00A61288">
              <w:rPr>
                <w:sz w:val="22"/>
                <w:lang w:val="es-ES"/>
              </w:rPr>
              <w:t>pregunta qué puede hacerse para minimizar la necesidad de pasar por este procedimiento en el futuro.</w:t>
            </w:r>
          </w:p>
          <w:p w14:paraId="6D463B93" w14:textId="77777777" w:rsidR="00967792" w:rsidRPr="00A61288" w:rsidRDefault="00967792" w:rsidP="00B53355">
            <w:pPr>
              <w:spacing w:before="40" w:after="40"/>
              <w:rPr>
                <w:sz w:val="22"/>
                <w:lang w:val="es-ES"/>
              </w:rPr>
            </w:pPr>
            <w:r w:rsidRPr="00A61288">
              <w:rPr>
                <w:sz w:val="22"/>
                <w:lang w:val="es-ES"/>
              </w:rPr>
              <w:lastRenderedPageBreak/>
              <w:t>3.4</w:t>
            </w:r>
            <w:r w:rsidRPr="00A61288">
              <w:rPr>
                <w:sz w:val="22"/>
                <w:lang w:val="es-ES"/>
              </w:rPr>
              <w:tab/>
              <w:t xml:space="preserve">El </w:t>
            </w:r>
            <w:r w:rsidRPr="00A61288">
              <w:rPr>
                <w:b/>
                <w:bCs/>
                <w:sz w:val="22"/>
                <w:lang w:val="es-ES"/>
              </w:rPr>
              <w:t>Presidente de la Comisión</w:t>
            </w:r>
            <w:r w:rsidRPr="00A61288">
              <w:rPr>
                <w:b/>
                <w:sz w:val="22"/>
                <w:lang w:val="es-ES"/>
              </w:rPr>
              <w:t> 7</w:t>
            </w:r>
            <w:r w:rsidRPr="00A61288">
              <w:rPr>
                <w:sz w:val="22"/>
                <w:lang w:val="es-ES"/>
              </w:rPr>
              <w:t xml:space="preserve"> dice que se hace todo lo posible por evitar los errores. No obstante, dada la compleja labor de la Comisión 7 y de la CMR en general, siempre pueden hallarse imperfecciones. Podría ayudar que las Comisiones se esforzasen en presentar sus documentos a la Comisión 7 con tiempo suficiente y tras haberlos examinado con detalle. Expresa su sincero agradecimiento a todos los participantes en los trabajos de la Comisión 7, y en particular al Secretario de la Comisión.</w:t>
            </w:r>
          </w:p>
          <w:p w14:paraId="3A68794E" w14:textId="77777777" w:rsidR="00967792" w:rsidRPr="00A61288" w:rsidRDefault="00967792" w:rsidP="00B53355">
            <w:pPr>
              <w:spacing w:before="40" w:after="40"/>
              <w:rPr>
                <w:sz w:val="22"/>
                <w:lang w:val="es-ES"/>
              </w:rPr>
            </w:pPr>
            <w:r w:rsidRPr="00A61288">
              <w:rPr>
                <w:sz w:val="22"/>
                <w:lang w:val="es-ES"/>
              </w:rPr>
              <w:t>3.5</w:t>
            </w:r>
            <w:r w:rsidRPr="00A61288">
              <w:rPr>
                <w:sz w:val="22"/>
                <w:lang w:val="es-ES"/>
              </w:rPr>
              <w:tab/>
              <w:t xml:space="preserve">En respuesta a otra pregunta del </w:t>
            </w:r>
            <w:r w:rsidRPr="00A61288">
              <w:rPr>
                <w:b/>
                <w:bCs/>
                <w:sz w:val="22"/>
                <w:lang w:val="es-ES"/>
              </w:rPr>
              <w:t>delegado de la República Islámica del Irán</w:t>
            </w:r>
            <w:r w:rsidRPr="00A61288">
              <w:rPr>
                <w:sz w:val="22"/>
                <w:lang w:val="es-ES"/>
              </w:rPr>
              <w:t xml:space="preserve">, el </w:t>
            </w:r>
            <w:r w:rsidRPr="00A61288">
              <w:rPr>
                <w:b/>
                <w:sz w:val="22"/>
                <w:lang w:val="es-ES"/>
              </w:rPr>
              <w:t>Director de la BR</w:t>
            </w:r>
            <w:r w:rsidRPr="00A61288">
              <w:rPr>
                <w:sz w:val="22"/>
                <w:lang w:val="es-ES"/>
              </w:rPr>
              <w:t xml:space="preserve"> confirma que, siguiendo la práctica habitual de la Oficina, durante el proceso de corrección editorial se consultará con los Presidentes de todas las Comisiones de la Conferencia, incluido el de la Comisión 7.</w:t>
            </w:r>
          </w:p>
          <w:p w14:paraId="55026566" w14:textId="77777777" w:rsidR="00967792" w:rsidRPr="00A61288" w:rsidRDefault="00967792" w:rsidP="00B53355">
            <w:pPr>
              <w:spacing w:before="40" w:after="40"/>
              <w:rPr>
                <w:sz w:val="22"/>
                <w:lang w:val="es-ES"/>
              </w:rPr>
            </w:pPr>
            <w:r w:rsidRPr="00A61288">
              <w:rPr>
                <w:sz w:val="22"/>
                <w:lang w:val="es-ES"/>
              </w:rPr>
              <w:t>3.6</w:t>
            </w:r>
            <w:r w:rsidRPr="00A61288">
              <w:rPr>
                <w:sz w:val="22"/>
                <w:lang w:val="es-ES"/>
              </w:rPr>
              <w:tab/>
              <w:t xml:space="preserve">El </w:t>
            </w:r>
            <w:r w:rsidRPr="00A61288">
              <w:rPr>
                <w:b/>
                <w:bCs/>
                <w:sz w:val="22"/>
                <w:lang w:val="es-ES"/>
              </w:rPr>
              <w:t xml:space="preserve">Presidente </w:t>
            </w:r>
            <w:r w:rsidRPr="00A61288">
              <w:rPr>
                <w:sz w:val="22"/>
                <w:lang w:val="es-ES"/>
              </w:rPr>
              <w:t>asume que los presentes desean autorizar al Director de la BR a que proceda a incluir las correcciones señaladas en los Documentos 203, 212, 336, 340 y 456 en la próxima edición del Reglamento de Radiocomunicaciones, de conformidad con el procedimiento descrito en el Documento 566.</w:t>
            </w:r>
          </w:p>
          <w:p w14:paraId="053E0832" w14:textId="6776AE86" w:rsidR="00967792" w:rsidRPr="00A61288" w:rsidRDefault="00967792" w:rsidP="00B53355">
            <w:pPr>
              <w:spacing w:before="40" w:after="40"/>
              <w:rPr>
                <w:bCs/>
                <w:sz w:val="22"/>
                <w:lang w:val="es-ES"/>
              </w:rPr>
            </w:pPr>
            <w:r w:rsidRPr="00A61288">
              <w:rPr>
                <w:sz w:val="22"/>
                <w:lang w:val="es-ES"/>
              </w:rPr>
              <w:t>3.7</w:t>
            </w:r>
            <w:r w:rsidRPr="00A61288">
              <w:rPr>
                <w:sz w:val="22"/>
                <w:lang w:val="es-ES"/>
              </w:rPr>
              <w:tab/>
              <w:t xml:space="preserve">Así se </w:t>
            </w:r>
            <w:r w:rsidRPr="00A61288">
              <w:rPr>
                <w:b/>
                <w:bCs/>
                <w:sz w:val="22"/>
                <w:lang w:val="es-ES"/>
              </w:rPr>
              <w:t>acuerda</w:t>
            </w:r>
            <w:r w:rsidRPr="00A61288">
              <w:rPr>
                <w:bCs/>
                <w:sz w:val="22"/>
                <w:lang w:val="es-ES"/>
              </w:rPr>
              <w:t>.</w:t>
            </w:r>
          </w:p>
        </w:tc>
        <w:tc>
          <w:tcPr>
            <w:tcW w:w="1548" w:type="pct"/>
          </w:tcPr>
          <w:p w14:paraId="5288984F" w14:textId="2B822BDE" w:rsidR="00967792" w:rsidRPr="00A616CA" w:rsidDel="009440F5" w:rsidRDefault="00967792" w:rsidP="00B53355">
            <w:pPr>
              <w:pStyle w:val="Tabletext"/>
              <w:rPr>
                <w:lang w:val="es-ES"/>
              </w:rPr>
            </w:pPr>
            <w:r w:rsidRPr="00A616CA">
              <w:rPr>
                <w:lang w:val="es-ES"/>
              </w:rPr>
              <w:lastRenderedPageBreak/>
              <w:t>Las correcciones que figuran en los Documentos 203, 212, 336, 340 y 456 se aplican de conformidad con el Documento</w:t>
            </w:r>
            <w:r w:rsidR="003B320A">
              <w:rPr>
                <w:lang w:val="es-ES"/>
              </w:rPr>
              <w:t> </w:t>
            </w:r>
            <w:r w:rsidRPr="00A616CA">
              <w:rPr>
                <w:lang w:val="es-ES"/>
              </w:rPr>
              <w:t>566.</w:t>
            </w:r>
          </w:p>
        </w:tc>
      </w:tr>
    </w:tbl>
    <w:p w14:paraId="63AFB568" w14:textId="77777777" w:rsidR="00B12216" w:rsidRPr="00040416" w:rsidRDefault="00B12216" w:rsidP="00B12216">
      <w:pPr>
        <w:rPr>
          <w:lang w:val="en-GB"/>
        </w:rPr>
      </w:pPr>
    </w:p>
    <w:p w14:paraId="20698D7B" w14:textId="753A9695" w:rsidR="00FE5FE1" w:rsidRPr="00D2027A" w:rsidRDefault="00FE5FE1" w:rsidP="00FE5FE1">
      <w:pPr>
        <w:jc w:val="center"/>
        <w:rPr>
          <w:lang w:val="es-ES"/>
        </w:rPr>
      </w:pPr>
      <w:r w:rsidRPr="00D2027A">
        <w:rPr>
          <w:lang w:val="es-ES"/>
        </w:rPr>
        <w:t>______________</w:t>
      </w:r>
    </w:p>
    <w:sectPr w:rsidR="00FE5FE1" w:rsidRPr="00D2027A" w:rsidSect="00924C8B">
      <w:headerReference w:type="default" r:id="rId287"/>
      <w:footerReference w:type="default" r:id="rId288"/>
      <w:headerReference w:type="first" r:id="rId289"/>
      <w:pgSz w:w="16834" w:h="11907" w:orient="landscape" w:code="9"/>
      <w:pgMar w:top="1134" w:right="1418" w:bottom="1134" w:left="1418"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87FC2" w14:textId="77777777" w:rsidR="009B6F4D" w:rsidRDefault="009B6F4D">
      <w:r>
        <w:separator/>
      </w:r>
    </w:p>
  </w:endnote>
  <w:endnote w:type="continuationSeparator" w:id="0">
    <w:p w14:paraId="097B0FFD" w14:textId="77777777" w:rsidR="009B6F4D" w:rsidRDefault="009B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9EED3" w14:textId="0B405A9E" w:rsidR="009B6F4D" w:rsidRPr="00070ACF" w:rsidRDefault="009B6F4D" w:rsidP="00B12216">
    <w:pPr>
      <w:pStyle w:val="Footer"/>
      <w:rPr>
        <w:lang w:val="pt-PT"/>
      </w:rPr>
    </w:pPr>
    <w:r>
      <w:fldChar w:fldCharType="begin"/>
    </w:r>
    <w:r w:rsidRPr="00070ACF">
      <w:rPr>
        <w:lang w:val="pt-PT"/>
      </w:rPr>
      <w:instrText xml:space="preserve"> FILENAME \p \* MERGEFORMAT </w:instrText>
    </w:r>
    <w:r>
      <w:fldChar w:fldCharType="separate"/>
    </w:r>
    <w:r w:rsidRPr="00070ACF">
      <w:rPr>
        <w:lang w:val="pt-PT"/>
      </w:rPr>
      <w:t>P:\TRAD\S\ITU-R\AG\RRB21\483339S_Montaje.docx</w:t>
    </w:r>
    <w:r>
      <w:rPr>
        <w:lang w:val="en-US"/>
      </w:rPr>
      <w:fldChar w:fldCharType="end"/>
    </w:r>
    <w:r w:rsidRPr="00070ACF">
      <w:rPr>
        <w:lang w:val="pt-PT"/>
      </w:rPr>
      <w:t xml:space="preserve"> (483339)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DB8D0" w14:textId="7460A2F3" w:rsidR="009B6F4D" w:rsidRPr="00BD79EC" w:rsidRDefault="009B6F4D" w:rsidP="00B12216">
    <w:pPr>
      <w:pStyle w:val="Footer"/>
      <w:rPr>
        <w:lang w:val="pt-PT"/>
      </w:rPr>
    </w:pPr>
    <w:r w:rsidRPr="00070ACF">
      <w:rPr>
        <w:lang w:val="pt-PT"/>
      </w:rPr>
      <w:t>(483339)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522E4" w14:textId="3D2C77DC" w:rsidR="009B6F4D" w:rsidRPr="00BD79EC" w:rsidRDefault="009B6F4D" w:rsidP="00BD79EC">
    <w:pPr>
      <w:pStyle w:val="Footer"/>
      <w:rPr>
        <w:lang w:val="pt-PT"/>
      </w:rPr>
    </w:pPr>
    <w:r w:rsidRPr="00070ACF">
      <w:rPr>
        <w:lang w:val="pt-PT"/>
      </w:rPr>
      <w:t>(483339)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F2AEC3" w14:textId="77777777" w:rsidR="009B6F4D" w:rsidRDefault="009B6F4D">
      <w:r>
        <w:t>____________________</w:t>
      </w:r>
    </w:p>
  </w:footnote>
  <w:footnote w:type="continuationSeparator" w:id="0">
    <w:p w14:paraId="7A04345D" w14:textId="77777777" w:rsidR="009B6F4D" w:rsidRDefault="009B6F4D">
      <w:r>
        <w:continuationSeparator/>
      </w:r>
    </w:p>
  </w:footnote>
  <w:footnote w:id="1">
    <w:p w14:paraId="3F5364F5" w14:textId="517EB5EC" w:rsidR="009B6F4D" w:rsidRDefault="009B6F4D" w:rsidP="00FE5FE1">
      <w:pPr>
        <w:pStyle w:val="FootnoteText"/>
      </w:pPr>
      <w:r>
        <w:rPr>
          <w:rStyle w:val="FootnoteReference"/>
        </w:rPr>
        <w:t>1</w:t>
      </w:r>
      <w:r>
        <w:tab/>
        <w:t>Hubo opiniones divergentes sobre si se debe aplicar la misma fecha de tratamiento a N</w:t>
      </w:r>
      <w:r>
        <w:noBreakHyphen/>
        <w:t>SAT</w:t>
      </w:r>
      <w:r>
        <w:noBreakHyphen/>
        <w:t>127 W y NSS</w:t>
      </w:r>
      <w:r>
        <w:noBreakHyphen/>
        <w:t>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36487" w14:textId="75FE8B89" w:rsidR="009B6F4D" w:rsidRPr="00B12216" w:rsidRDefault="009B6F4D" w:rsidP="00B12216">
    <w:pPr>
      <w:pStyle w:val="Header"/>
      <w:rPr>
        <w:lang w:val="es-ES"/>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1DBE0" w14:textId="0682F827" w:rsidR="009B6F4D" w:rsidRDefault="009B6F4D" w:rsidP="00F31656">
    <w:pPr>
      <w:pStyle w:val="Header"/>
      <w:rPr>
        <w:lang w:val="es-ES"/>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03184" w14:textId="77777777" w:rsidR="009B6F4D" w:rsidRPr="00B12216" w:rsidRDefault="009B6F4D" w:rsidP="00B12216">
    <w:pPr>
      <w:pStyle w:val="Header"/>
      <w:rPr>
        <w:lang w:val="es-ES"/>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42C4D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936FE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B8232A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A962E4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5DA44A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6E27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4C04A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86B1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F066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A61986"/>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1"/>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16E"/>
    <w:rsid w:val="00032A7C"/>
    <w:rsid w:val="00035FCD"/>
    <w:rsid w:val="00040416"/>
    <w:rsid w:val="00066621"/>
    <w:rsid w:val="000675D8"/>
    <w:rsid w:val="00070ACF"/>
    <w:rsid w:val="0007116E"/>
    <w:rsid w:val="00075863"/>
    <w:rsid w:val="000828AD"/>
    <w:rsid w:val="00092088"/>
    <w:rsid w:val="000C1114"/>
    <w:rsid w:val="000D6EC0"/>
    <w:rsid w:val="000E06AD"/>
    <w:rsid w:val="00103AF6"/>
    <w:rsid w:val="00104FE6"/>
    <w:rsid w:val="00107F05"/>
    <w:rsid w:val="001106DA"/>
    <w:rsid w:val="001428DB"/>
    <w:rsid w:val="00142FFB"/>
    <w:rsid w:val="00147257"/>
    <w:rsid w:val="00196BBF"/>
    <w:rsid w:val="001B0379"/>
    <w:rsid w:val="001B1847"/>
    <w:rsid w:val="001C2481"/>
    <w:rsid w:val="001C59E4"/>
    <w:rsid w:val="001E01D5"/>
    <w:rsid w:val="00251EE1"/>
    <w:rsid w:val="0025704A"/>
    <w:rsid w:val="00266695"/>
    <w:rsid w:val="00292D01"/>
    <w:rsid w:val="002D0088"/>
    <w:rsid w:val="002D6508"/>
    <w:rsid w:val="002F01B5"/>
    <w:rsid w:val="002F13F3"/>
    <w:rsid w:val="00304B8B"/>
    <w:rsid w:val="00315F1B"/>
    <w:rsid w:val="00321707"/>
    <w:rsid w:val="00357C6C"/>
    <w:rsid w:val="003661C9"/>
    <w:rsid w:val="00373E33"/>
    <w:rsid w:val="003766E4"/>
    <w:rsid w:val="00385240"/>
    <w:rsid w:val="003858D8"/>
    <w:rsid w:val="00394B16"/>
    <w:rsid w:val="00397F41"/>
    <w:rsid w:val="003A2F75"/>
    <w:rsid w:val="003B320A"/>
    <w:rsid w:val="003C64B9"/>
    <w:rsid w:val="003D6CD4"/>
    <w:rsid w:val="00414D8B"/>
    <w:rsid w:val="004278D7"/>
    <w:rsid w:val="00451CEF"/>
    <w:rsid w:val="00460DCA"/>
    <w:rsid w:val="00470B40"/>
    <w:rsid w:val="00475AA6"/>
    <w:rsid w:val="00484A2E"/>
    <w:rsid w:val="004865FC"/>
    <w:rsid w:val="00494A48"/>
    <w:rsid w:val="004A2844"/>
    <w:rsid w:val="004D1BF3"/>
    <w:rsid w:val="00506BE4"/>
    <w:rsid w:val="00507C65"/>
    <w:rsid w:val="00513FD7"/>
    <w:rsid w:val="00526A8C"/>
    <w:rsid w:val="00536113"/>
    <w:rsid w:val="005449DE"/>
    <w:rsid w:val="00563650"/>
    <w:rsid w:val="00567920"/>
    <w:rsid w:val="005776A8"/>
    <w:rsid w:val="005907DC"/>
    <w:rsid w:val="00595A16"/>
    <w:rsid w:val="00596CC4"/>
    <w:rsid w:val="005B0B9D"/>
    <w:rsid w:val="005B5009"/>
    <w:rsid w:val="005B686F"/>
    <w:rsid w:val="005B7F90"/>
    <w:rsid w:val="005D7C6D"/>
    <w:rsid w:val="005E3C9F"/>
    <w:rsid w:val="005E4385"/>
    <w:rsid w:val="00610642"/>
    <w:rsid w:val="00612BF6"/>
    <w:rsid w:val="00640B4D"/>
    <w:rsid w:val="00667E8A"/>
    <w:rsid w:val="006A0DE4"/>
    <w:rsid w:val="006C1F6A"/>
    <w:rsid w:val="006D21D7"/>
    <w:rsid w:val="006D6884"/>
    <w:rsid w:val="006E291F"/>
    <w:rsid w:val="006E7238"/>
    <w:rsid w:val="00700055"/>
    <w:rsid w:val="00707647"/>
    <w:rsid w:val="00716DF1"/>
    <w:rsid w:val="007262A6"/>
    <w:rsid w:val="00743DCD"/>
    <w:rsid w:val="007576BD"/>
    <w:rsid w:val="0077794E"/>
    <w:rsid w:val="007950C3"/>
    <w:rsid w:val="007A7CAE"/>
    <w:rsid w:val="007B70E4"/>
    <w:rsid w:val="007D5D32"/>
    <w:rsid w:val="007F5588"/>
    <w:rsid w:val="00813F9B"/>
    <w:rsid w:val="0085397B"/>
    <w:rsid w:val="00853F34"/>
    <w:rsid w:val="0086363C"/>
    <w:rsid w:val="00867CA2"/>
    <w:rsid w:val="008B4A1F"/>
    <w:rsid w:val="008E060F"/>
    <w:rsid w:val="008E6888"/>
    <w:rsid w:val="00913415"/>
    <w:rsid w:val="00924C8B"/>
    <w:rsid w:val="0094317C"/>
    <w:rsid w:val="009440F5"/>
    <w:rsid w:val="009538B2"/>
    <w:rsid w:val="00967792"/>
    <w:rsid w:val="009B087F"/>
    <w:rsid w:val="009B6AB9"/>
    <w:rsid w:val="009B6F4D"/>
    <w:rsid w:val="009C1C92"/>
    <w:rsid w:val="009F0570"/>
    <w:rsid w:val="009F18F2"/>
    <w:rsid w:val="00A06480"/>
    <w:rsid w:val="00A165B4"/>
    <w:rsid w:val="00A21E7D"/>
    <w:rsid w:val="00A51F13"/>
    <w:rsid w:val="00A56D4A"/>
    <w:rsid w:val="00A61288"/>
    <w:rsid w:val="00A616CA"/>
    <w:rsid w:val="00A743EE"/>
    <w:rsid w:val="00A864C4"/>
    <w:rsid w:val="00A865C3"/>
    <w:rsid w:val="00A93E62"/>
    <w:rsid w:val="00AC28E2"/>
    <w:rsid w:val="00AD6AE8"/>
    <w:rsid w:val="00B12216"/>
    <w:rsid w:val="00B1711B"/>
    <w:rsid w:val="00B35237"/>
    <w:rsid w:val="00B41789"/>
    <w:rsid w:val="00B46F58"/>
    <w:rsid w:val="00B51F9C"/>
    <w:rsid w:val="00B53355"/>
    <w:rsid w:val="00B72C66"/>
    <w:rsid w:val="00BC06EB"/>
    <w:rsid w:val="00BD2B15"/>
    <w:rsid w:val="00BD6294"/>
    <w:rsid w:val="00BD79EC"/>
    <w:rsid w:val="00BF2EA4"/>
    <w:rsid w:val="00C077CD"/>
    <w:rsid w:val="00C16E44"/>
    <w:rsid w:val="00C2113A"/>
    <w:rsid w:val="00C27465"/>
    <w:rsid w:val="00C42BB3"/>
    <w:rsid w:val="00C75A3E"/>
    <w:rsid w:val="00C95793"/>
    <w:rsid w:val="00CB3DC1"/>
    <w:rsid w:val="00CB3DCE"/>
    <w:rsid w:val="00CB7A43"/>
    <w:rsid w:val="00CC04BC"/>
    <w:rsid w:val="00CD23F9"/>
    <w:rsid w:val="00CF749F"/>
    <w:rsid w:val="00CF7B1D"/>
    <w:rsid w:val="00D07481"/>
    <w:rsid w:val="00D156CD"/>
    <w:rsid w:val="00D165DC"/>
    <w:rsid w:val="00D16E85"/>
    <w:rsid w:val="00D2027A"/>
    <w:rsid w:val="00D240D4"/>
    <w:rsid w:val="00D31839"/>
    <w:rsid w:val="00D66897"/>
    <w:rsid w:val="00DA756E"/>
    <w:rsid w:val="00DB79CA"/>
    <w:rsid w:val="00DE03BA"/>
    <w:rsid w:val="00E10B9F"/>
    <w:rsid w:val="00E16682"/>
    <w:rsid w:val="00E27789"/>
    <w:rsid w:val="00E50C03"/>
    <w:rsid w:val="00E6332C"/>
    <w:rsid w:val="00EA28E9"/>
    <w:rsid w:val="00EB285E"/>
    <w:rsid w:val="00EB3C7B"/>
    <w:rsid w:val="00ED11DE"/>
    <w:rsid w:val="00EE7443"/>
    <w:rsid w:val="00EF5454"/>
    <w:rsid w:val="00F31656"/>
    <w:rsid w:val="00F454DB"/>
    <w:rsid w:val="00F47AD4"/>
    <w:rsid w:val="00F60333"/>
    <w:rsid w:val="00F65386"/>
    <w:rsid w:val="00F707AC"/>
    <w:rsid w:val="00F93165"/>
    <w:rsid w:val="00F935B8"/>
    <w:rsid w:val="00FB29DD"/>
    <w:rsid w:val="00FB7BE1"/>
    <w:rsid w:val="00FE3C12"/>
    <w:rsid w:val="00FE5FE1"/>
    <w:rsid w:val="00FE7F1B"/>
    <w:rsid w:val="00FF3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C5232C"/>
  <w15:docId w15:val="{838F4630-AB28-48D9-88CD-4FD9BAAA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aliases w:val="h1,título 1,1,l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link w:val="Heading3Char"/>
    <w:qFormat/>
    <w:pPr>
      <w:spacing w:before="160"/>
      <w:outlineLvl w:val="2"/>
    </w:pPr>
  </w:style>
  <w:style w:type="paragraph" w:styleId="Heading4">
    <w:name w:val="heading 4"/>
    <w:basedOn w:val="Heading3"/>
    <w:next w:val="Normal"/>
    <w:link w:val="Heading4Char"/>
    <w:qFormat/>
    <w:pPr>
      <w:tabs>
        <w:tab w:val="clear" w:pos="794"/>
        <w:tab w:val="left" w:pos="1021"/>
      </w:tabs>
      <w:ind w:left="1021" w:hanging="1021"/>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1021"/>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link w:val="TabletitleBRChar"/>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link w:val="AnnexNotitleChar"/>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rPr>
      <w:vertAlign w:val="superscript"/>
    </w:rPr>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Formal">
    <w:name w:val="Formal"/>
    <w:basedOn w:val="ASN1"/>
    <w:rPr>
      <w:b w:val="0"/>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aliases w:val="Appel note de bas de p,Footnote Reference/,Footnote symbol,Style 12,(NECG) Footnote Reference,Style 124"/>
    <w:basedOn w:val="DefaultParagraphFont"/>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te"/>
    <w:link w:val="FootnoteTextChar1"/>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link w:val="HeadingbChar"/>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NoBR">
    <w:name w:val="Table_No_BR"/>
    <w:basedOn w:val="Normal"/>
    <w:next w:val="TabletitleBR"/>
    <w:link w:val="TableNoBRChar"/>
    <w:pPr>
      <w:keepNext/>
      <w:spacing w:before="560" w:after="120"/>
      <w:jc w:val="center"/>
    </w:pPr>
    <w:rPr>
      <w:caps/>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pPr>
      <w:spacing w:before="80"/>
      <w:ind w:left="1531" w:hanging="851"/>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styleId="PageNumber">
    <w:name w:val="page number"/>
    <w:basedOn w:val="DefaultParagraphFont"/>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customStyle="1" w:styleId="Heading1Char">
    <w:name w:val="Heading 1 Char"/>
    <w:aliases w:val="h1 Char,título 1 Char,1 Char,l1 Char"/>
    <w:basedOn w:val="DefaultParagraphFont"/>
    <w:link w:val="Heading1"/>
    <w:rsid w:val="0007116E"/>
    <w:rPr>
      <w:rFonts w:ascii="Times New Roman" w:hAnsi="Times New Roman"/>
      <w:b/>
      <w:sz w:val="24"/>
      <w:lang w:val="es-ES_tradnl" w:eastAsia="en-US"/>
    </w:rPr>
  </w:style>
  <w:style w:type="character" w:customStyle="1" w:styleId="Heading2Char">
    <w:name w:val="Heading 2 Char"/>
    <w:basedOn w:val="DefaultParagraphFont"/>
    <w:link w:val="Heading2"/>
    <w:rsid w:val="0007116E"/>
    <w:rPr>
      <w:rFonts w:ascii="Times New Roman" w:hAnsi="Times New Roman"/>
      <w:b/>
      <w:sz w:val="24"/>
      <w:lang w:val="es-ES_tradnl"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DefaultParagraphFont"/>
    <w:rsid w:val="0007116E"/>
    <w:rPr>
      <w:rFonts w:ascii="Times New Roman" w:eastAsia="Times New Roman" w:hAnsi="Times New Roman" w:cs="Times New Roman"/>
      <w:sz w:val="20"/>
      <w:szCs w:val="20"/>
      <w:lang w:val="en-GB" w:eastAsia="en-US"/>
    </w:r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
    <w:link w:val="FootnoteText"/>
    <w:uiPriority w:val="99"/>
    <w:locked/>
    <w:rsid w:val="0007116E"/>
    <w:rPr>
      <w:rFonts w:ascii="Times New Roman" w:hAnsi="Times New Roman"/>
      <w:sz w:val="24"/>
      <w:lang w:val="es-ES_tradnl" w:eastAsia="en-US"/>
    </w:rPr>
  </w:style>
  <w:style w:type="paragraph" w:customStyle="1" w:styleId="TableText0">
    <w:name w:val="Table_Text"/>
    <w:basedOn w:val="Normal"/>
    <w:rsid w:val="0007116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lang w:val="en-US"/>
    </w:rPr>
  </w:style>
  <w:style w:type="character" w:customStyle="1" w:styleId="TabletextChar">
    <w:name w:val="Table_text Char"/>
    <w:link w:val="Tabletext"/>
    <w:locked/>
    <w:rsid w:val="0007116E"/>
    <w:rPr>
      <w:rFonts w:ascii="Times New Roman" w:hAnsi="Times New Roman"/>
      <w:sz w:val="22"/>
      <w:lang w:val="es-ES_tradnl" w:eastAsia="en-US"/>
    </w:rPr>
  </w:style>
  <w:style w:type="character" w:customStyle="1" w:styleId="TabletitleBRChar">
    <w:name w:val="Table_title_BR Char"/>
    <w:link w:val="TabletitleBR"/>
    <w:locked/>
    <w:rsid w:val="0007116E"/>
    <w:rPr>
      <w:rFonts w:ascii="Times New Roman" w:hAnsi="Times New Roman"/>
      <w:b/>
      <w:sz w:val="24"/>
      <w:lang w:val="es-ES_tradnl" w:eastAsia="en-US"/>
    </w:rPr>
  </w:style>
  <w:style w:type="character" w:customStyle="1" w:styleId="TableNoBRChar">
    <w:name w:val="Table_No_BR Char"/>
    <w:link w:val="TableNoBR"/>
    <w:locked/>
    <w:rsid w:val="0007116E"/>
    <w:rPr>
      <w:rFonts w:ascii="Times New Roman" w:hAnsi="Times New Roman"/>
      <w:caps/>
      <w:sz w:val="24"/>
      <w:lang w:val="es-ES_tradnl" w:eastAsia="en-US"/>
    </w:rPr>
  </w:style>
  <w:style w:type="paragraph" w:customStyle="1" w:styleId="TableTitle">
    <w:name w:val="Table_Title"/>
    <w:basedOn w:val="Normal"/>
    <w:next w:val="TableText0"/>
    <w:rsid w:val="0007116E"/>
    <w:pPr>
      <w:keepNext/>
      <w:keepLines/>
      <w:overflowPunct/>
      <w:autoSpaceDE/>
      <w:autoSpaceDN/>
      <w:adjustRightInd/>
      <w:spacing w:before="0" w:after="120"/>
      <w:jc w:val="center"/>
      <w:textAlignment w:val="auto"/>
    </w:pPr>
    <w:rPr>
      <w:b/>
      <w:lang w:val="en-US"/>
    </w:rPr>
  </w:style>
  <w:style w:type="character" w:customStyle="1" w:styleId="AnnexNotitleChar">
    <w:name w:val="Annex_No &amp; title Char"/>
    <w:link w:val="AnnexNotitle"/>
    <w:locked/>
    <w:rsid w:val="0007116E"/>
    <w:rPr>
      <w:rFonts w:ascii="Times New Roman" w:hAnsi="Times New Roman"/>
      <w:b/>
      <w:sz w:val="28"/>
      <w:lang w:val="es-ES_tradnl" w:eastAsia="en-US"/>
    </w:rPr>
  </w:style>
  <w:style w:type="character" w:styleId="Strong">
    <w:name w:val="Strong"/>
    <w:uiPriority w:val="22"/>
    <w:qFormat/>
    <w:rsid w:val="0007116E"/>
    <w:rPr>
      <w:b/>
    </w:rPr>
  </w:style>
  <w:style w:type="paragraph" w:styleId="BalloonText">
    <w:name w:val="Balloon Text"/>
    <w:basedOn w:val="Normal"/>
    <w:link w:val="BalloonTextChar"/>
    <w:unhideWhenUsed/>
    <w:rsid w:val="0007116E"/>
    <w:pPr>
      <w:spacing w:before="0"/>
    </w:pPr>
    <w:rPr>
      <w:rFonts w:ascii="Tahoma" w:hAnsi="Tahoma" w:cs="Tahoma"/>
      <w:sz w:val="16"/>
      <w:szCs w:val="16"/>
      <w:lang w:val="en-GB"/>
    </w:rPr>
  </w:style>
  <w:style w:type="character" w:customStyle="1" w:styleId="BalloonTextChar">
    <w:name w:val="Balloon Text Char"/>
    <w:basedOn w:val="DefaultParagraphFont"/>
    <w:link w:val="BalloonText"/>
    <w:rsid w:val="0007116E"/>
    <w:rPr>
      <w:rFonts w:ascii="Tahoma" w:hAnsi="Tahoma" w:cs="Tahoma"/>
      <w:sz w:val="16"/>
      <w:szCs w:val="16"/>
      <w:lang w:val="en-GB" w:eastAsia="en-US"/>
    </w:rPr>
  </w:style>
  <w:style w:type="character" w:customStyle="1" w:styleId="HeaderChar">
    <w:name w:val="Header Char"/>
    <w:basedOn w:val="DefaultParagraphFont"/>
    <w:link w:val="Header"/>
    <w:uiPriority w:val="99"/>
    <w:rsid w:val="0007116E"/>
    <w:rPr>
      <w:rFonts w:ascii="Times New Roman" w:hAnsi="Times New Roman"/>
      <w:sz w:val="18"/>
      <w:lang w:val="es-ES_tradnl" w:eastAsia="en-US"/>
    </w:rPr>
  </w:style>
  <w:style w:type="character" w:customStyle="1" w:styleId="FooterChar">
    <w:name w:val="Footer Char"/>
    <w:basedOn w:val="DefaultParagraphFont"/>
    <w:link w:val="Footer"/>
    <w:uiPriority w:val="99"/>
    <w:rsid w:val="0007116E"/>
    <w:rPr>
      <w:rFonts w:ascii="Times New Roman" w:hAnsi="Times New Roman"/>
      <w:caps/>
      <w:noProof/>
      <w:sz w:val="16"/>
      <w:lang w:val="es-ES_tradnl" w:eastAsia="en-US"/>
    </w:rPr>
  </w:style>
  <w:style w:type="table" w:styleId="TableGrid">
    <w:name w:val="Table Grid"/>
    <w:basedOn w:val="TableNormal"/>
    <w:uiPriority w:val="59"/>
    <w:rsid w:val="0007116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7116E"/>
    <w:rPr>
      <w:color w:val="0000FF" w:themeColor="hyperlink"/>
      <w:u w:val="single"/>
    </w:rPr>
  </w:style>
  <w:style w:type="paragraph" w:customStyle="1" w:styleId="Reasons">
    <w:name w:val="Reasons"/>
    <w:basedOn w:val="Normal"/>
    <w:qFormat/>
    <w:rsid w:val="0007116E"/>
    <w:pPr>
      <w:tabs>
        <w:tab w:val="clear" w:pos="794"/>
        <w:tab w:val="clear" w:pos="1191"/>
        <w:tab w:val="left" w:pos="1134"/>
      </w:tabs>
    </w:pPr>
    <w:rPr>
      <w:lang w:val="en-GB"/>
    </w:rPr>
  </w:style>
  <w:style w:type="character" w:customStyle="1" w:styleId="Heading3Char">
    <w:name w:val="Heading 3 Char"/>
    <w:basedOn w:val="DefaultParagraphFont"/>
    <w:link w:val="Heading3"/>
    <w:rsid w:val="0007116E"/>
    <w:rPr>
      <w:rFonts w:ascii="Times New Roman" w:hAnsi="Times New Roman"/>
      <w:b/>
      <w:sz w:val="24"/>
      <w:lang w:val="es-ES_tradnl" w:eastAsia="en-US"/>
    </w:rPr>
  </w:style>
  <w:style w:type="character" w:customStyle="1" w:styleId="enumlev1Char">
    <w:name w:val="enumlev1 Char"/>
    <w:basedOn w:val="DefaultParagraphFont"/>
    <w:link w:val="enumlev1"/>
    <w:uiPriority w:val="99"/>
    <w:rsid w:val="0007116E"/>
    <w:rPr>
      <w:rFonts w:ascii="Times New Roman" w:hAnsi="Times New Roman"/>
      <w:sz w:val="24"/>
      <w:lang w:val="es-ES_tradnl" w:eastAsia="en-US"/>
    </w:rPr>
  </w:style>
  <w:style w:type="paragraph" w:styleId="ListParagraph">
    <w:name w:val="List Paragraph"/>
    <w:basedOn w:val="Normal"/>
    <w:uiPriority w:val="34"/>
    <w:qFormat/>
    <w:rsid w:val="0007116E"/>
    <w:pPr>
      <w:ind w:left="720"/>
      <w:contextualSpacing/>
    </w:pPr>
    <w:rPr>
      <w:lang w:val="en-GB"/>
    </w:rPr>
  </w:style>
  <w:style w:type="character" w:customStyle="1" w:styleId="Heading4Char">
    <w:name w:val="Heading 4 Char"/>
    <w:basedOn w:val="DefaultParagraphFont"/>
    <w:link w:val="Heading4"/>
    <w:rsid w:val="0007116E"/>
    <w:rPr>
      <w:rFonts w:ascii="Times New Roman" w:hAnsi="Times New Roman"/>
      <w:b/>
      <w:sz w:val="24"/>
      <w:lang w:val="es-ES_tradnl" w:eastAsia="en-US"/>
    </w:rPr>
  </w:style>
  <w:style w:type="character" w:customStyle="1" w:styleId="Heading5Char">
    <w:name w:val="Heading 5 Char"/>
    <w:basedOn w:val="DefaultParagraphFont"/>
    <w:link w:val="Heading5"/>
    <w:rsid w:val="0007116E"/>
    <w:rPr>
      <w:rFonts w:ascii="Times New Roman" w:hAnsi="Times New Roman"/>
      <w:b/>
      <w:sz w:val="24"/>
      <w:lang w:val="es-ES_tradnl" w:eastAsia="en-US"/>
    </w:rPr>
  </w:style>
  <w:style w:type="character" w:customStyle="1" w:styleId="Heading6Char">
    <w:name w:val="Heading 6 Char"/>
    <w:basedOn w:val="DefaultParagraphFont"/>
    <w:link w:val="Heading6"/>
    <w:rsid w:val="0007116E"/>
    <w:rPr>
      <w:rFonts w:ascii="Times New Roman" w:hAnsi="Times New Roman"/>
      <w:b/>
      <w:sz w:val="24"/>
      <w:lang w:val="es-ES_tradnl" w:eastAsia="en-US"/>
    </w:rPr>
  </w:style>
  <w:style w:type="character" w:customStyle="1" w:styleId="Heading7Char">
    <w:name w:val="Heading 7 Char"/>
    <w:basedOn w:val="DefaultParagraphFont"/>
    <w:link w:val="Heading7"/>
    <w:rsid w:val="0007116E"/>
    <w:rPr>
      <w:rFonts w:ascii="Times New Roman" w:hAnsi="Times New Roman"/>
      <w:b/>
      <w:sz w:val="24"/>
      <w:lang w:val="es-ES_tradnl" w:eastAsia="en-US"/>
    </w:rPr>
  </w:style>
  <w:style w:type="character" w:customStyle="1" w:styleId="Heading8Char">
    <w:name w:val="Heading 8 Char"/>
    <w:basedOn w:val="DefaultParagraphFont"/>
    <w:link w:val="Heading8"/>
    <w:rsid w:val="0007116E"/>
    <w:rPr>
      <w:rFonts w:ascii="Times New Roman" w:hAnsi="Times New Roman"/>
      <w:b/>
      <w:sz w:val="24"/>
      <w:lang w:val="es-ES_tradnl" w:eastAsia="en-US"/>
    </w:rPr>
  </w:style>
  <w:style w:type="character" w:customStyle="1" w:styleId="Heading9Char">
    <w:name w:val="Heading 9 Char"/>
    <w:basedOn w:val="DefaultParagraphFont"/>
    <w:link w:val="Heading9"/>
    <w:rsid w:val="0007116E"/>
    <w:rPr>
      <w:rFonts w:ascii="Times New Roman" w:hAnsi="Times New Roman"/>
      <w:b/>
      <w:sz w:val="24"/>
      <w:lang w:val="es-ES_tradnl" w:eastAsia="en-US"/>
    </w:rPr>
  </w:style>
  <w:style w:type="numbering" w:customStyle="1" w:styleId="NoList1">
    <w:name w:val="No List1"/>
    <w:next w:val="NoList"/>
    <w:uiPriority w:val="99"/>
    <w:semiHidden/>
    <w:unhideWhenUsed/>
    <w:rsid w:val="0007116E"/>
  </w:style>
  <w:style w:type="paragraph" w:customStyle="1" w:styleId="H2">
    <w:name w:val="H2"/>
    <w:basedOn w:val="Normal"/>
    <w:next w:val="Normal"/>
    <w:rsid w:val="0007116E"/>
    <w:pPr>
      <w:keepNext/>
      <w:widowControl w:val="0"/>
      <w:tabs>
        <w:tab w:val="clear" w:pos="794"/>
        <w:tab w:val="clear" w:pos="1191"/>
        <w:tab w:val="clear" w:pos="1588"/>
        <w:tab w:val="clear" w:pos="1985"/>
      </w:tabs>
      <w:overflowPunct/>
      <w:autoSpaceDE/>
      <w:autoSpaceDN/>
      <w:adjustRightInd/>
      <w:spacing w:before="100" w:after="100"/>
      <w:textAlignment w:val="auto"/>
      <w:outlineLvl w:val="2"/>
    </w:pPr>
    <w:rPr>
      <w:b/>
      <w:snapToGrid w:val="0"/>
      <w:sz w:val="36"/>
      <w:lang w:val="en-US"/>
    </w:rPr>
  </w:style>
  <w:style w:type="paragraph" w:customStyle="1" w:styleId="Annextitle">
    <w:name w:val="Annex_title"/>
    <w:basedOn w:val="Normal"/>
    <w:next w:val="Normalaftertitle0"/>
    <w:link w:val="AnnextitleChar"/>
    <w:rsid w:val="0007116E"/>
    <w:pPr>
      <w:keepNext/>
      <w:keepLines/>
      <w:spacing w:before="240" w:after="280"/>
      <w:jc w:val="center"/>
    </w:pPr>
    <w:rPr>
      <w:rFonts w:ascii="Times New Roman Bold" w:hAnsi="Times New Roman Bold"/>
      <w:b/>
      <w:sz w:val="28"/>
      <w:lang w:val="en-GB"/>
    </w:rPr>
  </w:style>
  <w:style w:type="paragraph" w:customStyle="1" w:styleId="Normalaftertitle0">
    <w:name w:val="Normal after title"/>
    <w:basedOn w:val="Normal"/>
    <w:next w:val="Normal"/>
    <w:rsid w:val="0007116E"/>
    <w:pPr>
      <w:spacing w:before="280"/>
    </w:pPr>
    <w:rPr>
      <w:lang w:val="en-GB"/>
    </w:rPr>
  </w:style>
  <w:style w:type="paragraph" w:customStyle="1" w:styleId="TableNo">
    <w:name w:val="Table_No"/>
    <w:basedOn w:val="Normal"/>
    <w:next w:val="Tabletitle0"/>
    <w:link w:val="TableNoChar"/>
    <w:rsid w:val="0007116E"/>
    <w:pPr>
      <w:keepNext/>
      <w:spacing w:before="560" w:after="120"/>
      <w:jc w:val="center"/>
    </w:pPr>
    <w:rPr>
      <w:caps/>
      <w:lang w:val="en-GB"/>
    </w:rPr>
  </w:style>
  <w:style w:type="paragraph" w:customStyle="1" w:styleId="Tabletitle0">
    <w:name w:val="Table_title"/>
    <w:basedOn w:val="Normal"/>
    <w:next w:val="Tabletext"/>
    <w:rsid w:val="0007116E"/>
    <w:pPr>
      <w:keepNext/>
      <w:keepLines/>
      <w:spacing w:before="0" w:after="120"/>
      <w:jc w:val="center"/>
    </w:pPr>
    <w:rPr>
      <w:rFonts w:ascii="Times New Roman Bold" w:hAnsi="Times New Roman Bold"/>
      <w:b/>
      <w:lang w:val="en-GB"/>
    </w:rPr>
  </w:style>
  <w:style w:type="paragraph" w:customStyle="1" w:styleId="Table">
    <w:name w:val="Table_#"/>
    <w:basedOn w:val="Normal"/>
    <w:next w:val="TableTitle"/>
    <w:rsid w:val="0007116E"/>
    <w:pPr>
      <w:keepNext/>
      <w:overflowPunct/>
      <w:autoSpaceDE/>
      <w:autoSpaceDN/>
      <w:adjustRightInd/>
      <w:spacing w:before="560" w:after="120"/>
      <w:jc w:val="center"/>
      <w:textAlignment w:val="auto"/>
    </w:pPr>
    <w:rPr>
      <w:caps/>
      <w:lang w:val="en-GB"/>
    </w:rPr>
  </w:style>
  <w:style w:type="paragraph" w:styleId="BodyText">
    <w:name w:val="Body Text"/>
    <w:basedOn w:val="Normal"/>
    <w:link w:val="BodyTextChar"/>
    <w:rsid w:val="0007116E"/>
    <w:pPr>
      <w:keepNext/>
      <w:numPr>
        <w:ilvl w:val="12"/>
      </w:numPr>
      <w:tabs>
        <w:tab w:val="clear" w:pos="794"/>
        <w:tab w:val="clear" w:pos="1191"/>
        <w:tab w:val="clear" w:pos="1588"/>
        <w:tab w:val="clear" w:pos="1985"/>
      </w:tabs>
      <w:overflowPunct/>
      <w:autoSpaceDE/>
      <w:autoSpaceDN/>
      <w:adjustRightInd/>
      <w:spacing w:before="0"/>
      <w:textAlignment w:val="auto"/>
    </w:pPr>
    <w:rPr>
      <w:rFonts w:ascii="Arial" w:hAnsi="Arial"/>
      <w:b/>
      <w:color w:val="000000"/>
      <w:sz w:val="22"/>
      <w:lang w:val="en-US"/>
    </w:rPr>
  </w:style>
  <w:style w:type="character" w:customStyle="1" w:styleId="BodyTextChar">
    <w:name w:val="Body Text Char"/>
    <w:basedOn w:val="DefaultParagraphFont"/>
    <w:link w:val="BodyText"/>
    <w:rsid w:val="0007116E"/>
    <w:rPr>
      <w:rFonts w:ascii="Arial" w:hAnsi="Arial"/>
      <w:b/>
      <w:color w:val="000000"/>
      <w:sz w:val="22"/>
      <w:lang w:eastAsia="en-US"/>
    </w:rPr>
  </w:style>
  <w:style w:type="paragraph" w:styleId="ListBullet">
    <w:name w:val="List Bullet"/>
    <w:basedOn w:val="Normal"/>
    <w:autoRedefine/>
    <w:rsid w:val="0007116E"/>
    <w:pPr>
      <w:widowControl w:val="0"/>
      <w:numPr>
        <w:numId w:val="1"/>
      </w:numPr>
      <w:tabs>
        <w:tab w:val="clear" w:pos="794"/>
        <w:tab w:val="clear" w:pos="1191"/>
        <w:tab w:val="clear" w:pos="1588"/>
        <w:tab w:val="clear" w:pos="1985"/>
      </w:tabs>
      <w:overflowPunct/>
      <w:autoSpaceDE/>
      <w:autoSpaceDN/>
      <w:adjustRightInd/>
      <w:spacing w:before="100" w:after="100"/>
      <w:textAlignment w:val="auto"/>
    </w:pPr>
    <w:rPr>
      <w:snapToGrid w:val="0"/>
      <w:lang w:val="en-US"/>
    </w:rPr>
  </w:style>
  <w:style w:type="paragraph" w:styleId="ListBullet2">
    <w:name w:val="List Bullet 2"/>
    <w:basedOn w:val="Normal"/>
    <w:autoRedefine/>
    <w:rsid w:val="0007116E"/>
    <w:pPr>
      <w:widowControl w:val="0"/>
      <w:numPr>
        <w:numId w:val="2"/>
      </w:numPr>
      <w:tabs>
        <w:tab w:val="clear" w:pos="794"/>
        <w:tab w:val="clear" w:pos="1191"/>
        <w:tab w:val="clear" w:pos="1588"/>
        <w:tab w:val="clear" w:pos="1985"/>
      </w:tabs>
      <w:overflowPunct/>
      <w:autoSpaceDE/>
      <w:autoSpaceDN/>
      <w:adjustRightInd/>
      <w:spacing w:before="100" w:after="100"/>
      <w:textAlignment w:val="auto"/>
    </w:pPr>
    <w:rPr>
      <w:snapToGrid w:val="0"/>
      <w:lang w:val="en-US"/>
    </w:rPr>
  </w:style>
  <w:style w:type="paragraph" w:styleId="ListBullet3">
    <w:name w:val="List Bullet 3"/>
    <w:basedOn w:val="Normal"/>
    <w:autoRedefine/>
    <w:rsid w:val="0007116E"/>
    <w:pPr>
      <w:widowControl w:val="0"/>
      <w:numPr>
        <w:numId w:val="3"/>
      </w:numPr>
      <w:tabs>
        <w:tab w:val="clear" w:pos="794"/>
        <w:tab w:val="clear" w:pos="1191"/>
        <w:tab w:val="clear" w:pos="1588"/>
        <w:tab w:val="clear" w:pos="1985"/>
      </w:tabs>
      <w:overflowPunct/>
      <w:autoSpaceDE/>
      <w:autoSpaceDN/>
      <w:adjustRightInd/>
      <w:spacing w:before="100" w:after="100"/>
      <w:textAlignment w:val="auto"/>
    </w:pPr>
    <w:rPr>
      <w:snapToGrid w:val="0"/>
      <w:lang w:val="en-US"/>
    </w:rPr>
  </w:style>
  <w:style w:type="paragraph" w:styleId="ListBullet4">
    <w:name w:val="List Bullet 4"/>
    <w:basedOn w:val="Normal"/>
    <w:autoRedefine/>
    <w:rsid w:val="0007116E"/>
    <w:pPr>
      <w:widowControl w:val="0"/>
      <w:numPr>
        <w:numId w:val="4"/>
      </w:numPr>
      <w:tabs>
        <w:tab w:val="clear" w:pos="794"/>
        <w:tab w:val="clear" w:pos="1588"/>
        <w:tab w:val="clear" w:pos="1985"/>
      </w:tabs>
      <w:overflowPunct/>
      <w:autoSpaceDE/>
      <w:autoSpaceDN/>
      <w:adjustRightInd/>
      <w:spacing w:before="100" w:after="100"/>
      <w:textAlignment w:val="auto"/>
    </w:pPr>
    <w:rPr>
      <w:snapToGrid w:val="0"/>
      <w:lang w:val="en-US"/>
    </w:rPr>
  </w:style>
  <w:style w:type="paragraph" w:styleId="ListBullet5">
    <w:name w:val="List Bullet 5"/>
    <w:basedOn w:val="Normal"/>
    <w:autoRedefine/>
    <w:rsid w:val="0007116E"/>
    <w:pPr>
      <w:widowControl w:val="0"/>
      <w:numPr>
        <w:numId w:val="5"/>
      </w:numPr>
      <w:tabs>
        <w:tab w:val="clear" w:pos="794"/>
        <w:tab w:val="clear" w:pos="1191"/>
        <w:tab w:val="clear" w:pos="1588"/>
        <w:tab w:val="clear" w:pos="1985"/>
      </w:tabs>
      <w:overflowPunct/>
      <w:autoSpaceDE/>
      <w:autoSpaceDN/>
      <w:adjustRightInd/>
      <w:spacing w:before="100" w:after="100"/>
      <w:textAlignment w:val="auto"/>
    </w:pPr>
    <w:rPr>
      <w:snapToGrid w:val="0"/>
      <w:lang w:val="en-US"/>
    </w:rPr>
  </w:style>
  <w:style w:type="paragraph" w:styleId="ListNumber">
    <w:name w:val="List Number"/>
    <w:basedOn w:val="Normal"/>
    <w:rsid w:val="0007116E"/>
    <w:pPr>
      <w:widowControl w:val="0"/>
      <w:numPr>
        <w:numId w:val="6"/>
      </w:numPr>
      <w:tabs>
        <w:tab w:val="clear" w:pos="794"/>
        <w:tab w:val="clear" w:pos="1191"/>
        <w:tab w:val="clear" w:pos="1588"/>
        <w:tab w:val="clear" w:pos="1985"/>
      </w:tabs>
      <w:overflowPunct/>
      <w:autoSpaceDE/>
      <w:autoSpaceDN/>
      <w:adjustRightInd/>
      <w:spacing w:before="100" w:after="100"/>
      <w:textAlignment w:val="auto"/>
    </w:pPr>
    <w:rPr>
      <w:snapToGrid w:val="0"/>
      <w:lang w:val="en-US"/>
    </w:rPr>
  </w:style>
  <w:style w:type="paragraph" w:styleId="ListNumber2">
    <w:name w:val="List Number 2"/>
    <w:basedOn w:val="Normal"/>
    <w:rsid w:val="0007116E"/>
    <w:pPr>
      <w:widowControl w:val="0"/>
      <w:numPr>
        <w:numId w:val="7"/>
      </w:numPr>
      <w:tabs>
        <w:tab w:val="clear" w:pos="794"/>
        <w:tab w:val="clear" w:pos="1191"/>
        <w:tab w:val="clear" w:pos="1588"/>
        <w:tab w:val="clear" w:pos="1985"/>
      </w:tabs>
      <w:overflowPunct/>
      <w:autoSpaceDE/>
      <w:autoSpaceDN/>
      <w:adjustRightInd/>
      <w:spacing w:before="100" w:after="100"/>
      <w:textAlignment w:val="auto"/>
    </w:pPr>
    <w:rPr>
      <w:snapToGrid w:val="0"/>
      <w:lang w:val="en-US"/>
    </w:rPr>
  </w:style>
  <w:style w:type="paragraph" w:styleId="ListNumber3">
    <w:name w:val="List Number 3"/>
    <w:basedOn w:val="Normal"/>
    <w:rsid w:val="0007116E"/>
    <w:pPr>
      <w:widowControl w:val="0"/>
      <w:numPr>
        <w:numId w:val="8"/>
      </w:numPr>
      <w:tabs>
        <w:tab w:val="clear" w:pos="794"/>
        <w:tab w:val="clear" w:pos="1191"/>
        <w:tab w:val="clear" w:pos="1588"/>
        <w:tab w:val="clear" w:pos="1985"/>
      </w:tabs>
      <w:overflowPunct/>
      <w:autoSpaceDE/>
      <w:autoSpaceDN/>
      <w:adjustRightInd/>
      <w:spacing w:before="100" w:after="100"/>
      <w:textAlignment w:val="auto"/>
    </w:pPr>
    <w:rPr>
      <w:snapToGrid w:val="0"/>
      <w:lang w:val="en-US"/>
    </w:rPr>
  </w:style>
  <w:style w:type="paragraph" w:styleId="ListNumber4">
    <w:name w:val="List Number 4"/>
    <w:basedOn w:val="Normal"/>
    <w:rsid w:val="0007116E"/>
    <w:pPr>
      <w:widowControl w:val="0"/>
      <w:numPr>
        <w:numId w:val="9"/>
      </w:numPr>
      <w:tabs>
        <w:tab w:val="clear" w:pos="794"/>
        <w:tab w:val="clear" w:pos="1588"/>
        <w:tab w:val="clear" w:pos="1985"/>
      </w:tabs>
      <w:overflowPunct/>
      <w:autoSpaceDE/>
      <w:autoSpaceDN/>
      <w:adjustRightInd/>
      <w:spacing w:before="100" w:after="100"/>
      <w:textAlignment w:val="auto"/>
    </w:pPr>
    <w:rPr>
      <w:snapToGrid w:val="0"/>
      <w:lang w:val="en-US"/>
    </w:rPr>
  </w:style>
  <w:style w:type="paragraph" w:styleId="ListNumber5">
    <w:name w:val="List Number 5"/>
    <w:basedOn w:val="Normal"/>
    <w:rsid w:val="0007116E"/>
    <w:pPr>
      <w:widowControl w:val="0"/>
      <w:numPr>
        <w:numId w:val="10"/>
      </w:numPr>
      <w:tabs>
        <w:tab w:val="clear" w:pos="794"/>
        <w:tab w:val="clear" w:pos="1191"/>
        <w:tab w:val="clear" w:pos="1588"/>
        <w:tab w:val="clear" w:pos="1985"/>
      </w:tabs>
      <w:overflowPunct/>
      <w:autoSpaceDE/>
      <w:autoSpaceDN/>
      <w:adjustRightInd/>
      <w:spacing w:before="100" w:after="100"/>
      <w:textAlignment w:val="auto"/>
    </w:pPr>
    <w:rPr>
      <w:snapToGrid w:val="0"/>
      <w:lang w:val="en-US"/>
    </w:rPr>
  </w:style>
  <w:style w:type="paragraph" w:customStyle="1" w:styleId="Blockquote">
    <w:name w:val="Blockquote"/>
    <w:basedOn w:val="Normal"/>
    <w:rsid w:val="0007116E"/>
    <w:pPr>
      <w:widowControl w:val="0"/>
      <w:tabs>
        <w:tab w:val="clear" w:pos="794"/>
        <w:tab w:val="clear" w:pos="1191"/>
        <w:tab w:val="clear" w:pos="1588"/>
        <w:tab w:val="clear" w:pos="1985"/>
      </w:tabs>
      <w:overflowPunct/>
      <w:autoSpaceDE/>
      <w:autoSpaceDN/>
      <w:adjustRightInd/>
      <w:spacing w:before="100" w:after="100"/>
      <w:ind w:left="360" w:right="360"/>
      <w:textAlignment w:val="auto"/>
    </w:pPr>
    <w:rPr>
      <w:snapToGrid w:val="0"/>
      <w:lang w:val="en-US"/>
    </w:rPr>
  </w:style>
  <w:style w:type="paragraph" w:customStyle="1" w:styleId="H4">
    <w:name w:val="H4"/>
    <w:basedOn w:val="Normal"/>
    <w:next w:val="Normal"/>
    <w:rsid w:val="0007116E"/>
    <w:pPr>
      <w:keepNext/>
      <w:widowControl w:val="0"/>
      <w:tabs>
        <w:tab w:val="clear" w:pos="794"/>
        <w:tab w:val="clear" w:pos="1191"/>
        <w:tab w:val="clear" w:pos="1588"/>
        <w:tab w:val="clear" w:pos="1985"/>
      </w:tabs>
      <w:overflowPunct/>
      <w:autoSpaceDE/>
      <w:autoSpaceDN/>
      <w:adjustRightInd/>
      <w:spacing w:before="100" w:after="100"/>
      <w:textAlignment w:val="auto"/>
      <w:outlineLvl w:val="4"/>
    </w:pPr>
    <w:rPr>
      <w:b/>
      <w:snapToGrid w:val="0"/>
      <w:lang w:val="en-US"/>
    </w:rPr>
  </w:style>
  <w:style w:type="paragraph" w:customStyle="1" w:styleId="H3">
    <w:name w:val="H3"/>
    <w:basedOn w:val="Normal"/>
    <w:next w:val="Normal"/>
    <w:rsid w:val="0007116E"/>
    <w:pPr>
      <w:keepNext/>
      <w:widowControl w:val="0"/>
      <w:tabs>
        <w:tab w:val="clear" w:pos="794"/>
        <w:tab w:val="clear" w:pos="1191"/>
        <w:tab w:val="clear" w:pos="1588"/>
        <w:tab w:val="clear" w:pos="1985"/>
      </w:tabs>
      <w:overflowPunct/>
      <w:autoSpaceDE/>
      <w:autoSpaceDN/>
      <w:adjustRightInd/>
      <w:spacing w:before="100" w:after="100"/>
      <w:textAlignment w:val="auto"/>
      <w:outlineLvl w:val="3"/>
    </w:pPr>
    <w:rPr>
      <w:b/>
      <w:snapToGrid w:val="0"/>
      <w:sz w:val="28"/>
      <w:lang w:val="en-US"/>
    </w:rPr>
  </w:style>
  <w:style w:type="paragraph" w:customStyle="1" w:styleId="DefinitionTerm">
    <w:name w:val="Definition Term"/>
    <w:basedOn w:val="Normal"/>
    <w:next w:val="DefinitionList"/>
    <w:rsid w:val="0007116E"/>
    <w:pPr>
      <w:widowControl w:val="0"/>
      <w:tabs>
        <w:tab w:val="clear" w:pos="794"/>
        <w:tab w:val="clear" w:pos="1191"/>
        <w:tab w:val="clear" w:pos="1588"/>
        <w:tab w:val="clear" w:pos="1985"/>
      </w:tabs>
      <w:overflowPunct/>
      <w:autoSpaceDE/>
      <w:autoSpaceDN/>
      <w:adjustRightInd/>
      <w:spacing w:before="0"/>
      <w:textAlignment w:val="auto"/>
    </w:pPr>
    <w:rPr>
      <w:snapToGrid w:val="0"/>
      <w:lang w:val="en-US"/>
    </w:rPr>
  </w:style>
  <w:style w:type="paragraph" w:customStyle="1" w:styleId="DefinitionList">
    <w:name w:val="Definition List"/>
    <w:basedOn w:val="Normal"/>
    <w:next w:val="DefinitionTerm"/>
    <w:rsid w:val="0007116E"/>
    <w:pPr>
      <w:widowControl w:val="0"/>
      <w:tabs>
        <w:tab w:val="clear" w:pos="794"/>
        <w:tab w:val="clear" w:pos="1191"/>
        <w:tab w:val="clear" w:pos="1588"/>
        <w:tab w:val="clear" w:pos="1985"/>
      </w:tabs>
      <w:overflowPunct/>
      <w:autoSpaceDE/>
      <w:autoSpaceDN/>
      <w:adjustRightInd/>
      <w:spacing w:before="0"/>
      <w:ind w:left="360"/>
      <w:textAlignment w:val="auto"/>
    </w:pPr>
    <w:rPr>
      <w:snapToGrid w:val="0"/>
      <w:lang w:val="en-US"/>
    </w:rPr>
  </w:style>
  <w:style w:type="character" w:customStyle="1" w:styleId="HTMLMarkup">
    <w:name w:val="HTML Markup"/>
    <w:rsid w:val="0007116E"/>
    <w:rPr>
      <w:vanish/>
      <w:color w:val="FF0000"/>
    </w:rPr>
  </w:style>
  <w:style w:type="character" w:styleId="Emphasis">
    <w:name w:val="Emphasis"/>
    <w:basedOn w:val="DefaultParagraphFont"/>
    <w:qFormat/>
    <w:rsid w:val="0007116E"/>
    <w:rPr>
      <w:i/>
      <w:iCs/>
    </w:rPr>
  </w:style>
  <w:style w:type="paragraph" w:styleId="NormalWeb">
    <w:name w:val="Normal (Web)"/>
    <w:basedOn w:val="Normal"/>
    <w:rsid w:val="0007116E"/>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Arial Unicode MS" w:eastAsia="Arial Unicode MS" w:hAnsi="Arial Unicode MS" w:cs="Arial Unicode MS"/>
      <w:szCs w:val="24"/>
      <w:lang w:val="en-US"/>
    </w:rPr>
  </w:style>
  <w:style w:type="character" w:styleId="FollowedHyperlink">
    <w:name w:val="FollowedHyperlink"/>
    <w:basedOn w:val="DefaultParagraphFont"/>
    <w:rsid w:val="0007116E"/>
    <w:rPr>
      <w:color w:val="800080"/>
      <w:u w:val="single"/>
    </w:rPr>
  </w:style>
  <w:style w:type="paragraph" w:styleId="DocumentMap">
    <w:name w:val="Document Map"/>
    <w:basedOn w:val="Normal"/>
    <w:link w:val="DocumentMapChar"/>
    <w:semiHidden/>
    <w:rsid w:val="0007116E"/>
    <w:pPr>
      <w:shd w:val="clear" w:color="auto" w:fill="000080"/>
    </w:pPr>
    <w:rPr>
      <w:rFonts w:ascii="Tahoma" w:hAnsi="Tahoma" w:cs="Tahoma"/>
      <w:lang w:val="en-GB"/>
    </w:rPr>
  </w:style>
  <w:style w:type="character" w:customStyle="1" w:styleId="DocumentMapChar">
    <w:name w:val="Document Map Char"/>
    <w:basedOn w:val="DefaultParagraphFont"/>
    <w:link w:val="DocumentMap"/>
    <w:semiHidden/>
    <w:rsid w:val="0007116E"/>
    <w:rPr>
      <w:rFonts w:ascii="Tahoma" w:hAnsi="Tahoma" w:cs="Tahoma"/>
      <w:sz w:val="24"/>
      <w:shd w:val="clear" w:color="auto" w:fill="000080"/>
      <w:lang w:val="en-GB" w:eastAsia="en-US"/>
    </w:rPr>
  </w:style>
  <w:style w:type="character" w:customStyle="1" w:styleId="Definition">
    <w:name w:val="Definition"/>
    <w:rsid w:val="0007116E"/>
    <w:rPr>
      <w:i/>
    </w:rPr>
  </w:style>
  <w:style w:type="paragraph" w:customStyle="1" w:styleId="H1">
    <w:name w:val="H1"/>
    <w:basedOn w:val="Normal"/>
    <w:next w:val="Normal"/>
    <w:rsid w:val="0007116E"/>
    <w:pPr>
      <w:keepNext/>
      <w:widowControl w:val="0"/>
      <w:tabs>
        <w:tab w:val="clear" w:pos="794"/>
        <w:tab w:val="clear" w:pos="1191"/>
        <w:tab w:val="clear" w:pos="1588"/>
        <w:tab w:val="clear" w:pos="1985"/>
      </w:tabs>
      <w:overflowPunct/>
      <w:autoSpaceDE/>
      <w:autoSpaceDN/>
      <w:adjustRightInd/>
      <w:spacing w:before="100" w:after="100"/>
      <w:textAlignment w:val="auto"/>
      <w:outlineLvl w:val="1"/>
    </w:pPr>
    <w:rPr>
      <w:b/>
      <w:snapToGrid w:val="0"/>
      <w:kern w:val="36"/>
      <w:sz w:val="48"/>
      <w:lang w:val="en-US"/>
    </w:rPr>
  </w:style>
  <w:style w:type="paragraph" w:customStyle="1" w:styleId="H5">
    <w:name w:val="H5"/>
    <w:basedOn w:val="Normal"/>
    <w:next w:val="Normal"/>
    <w:rsid w:val="0007116E"/>
    <w:pPr>
      <w:keepNext/>
      <w:widowControl w:val="0"/>
      <w:tabs>
        <w:tab w:val="clear" w:pos="794"/>
        <w:tab w:val="clear" w:pos="1191"/>
        <w:tab w:val="clear" w:pos="1588"/>
        <w:tab w:val="clear" w:pos="1985"/>
      </w:tabs>
      <w:overflowPunct/>
      <w:autoSpaceDE/>
      <w:autoSpaceDN/>
      <w:adjustRightInd/>
      <w:spacing w:before="100" w:after="100"/>
      <w:textAlignment w:val="auto"/>
      <w:outlineLvl w:val="5"/>
    </w:pPr>
    <w:rPr>
      <w:b/>
      <w:snapToGrid w:val="0"/>
      <w:sz w:val="20"/>
      <w:lang w:val="en-US"/>
    </w:rPr>
  </w:style>
  <w:style w:type="paragraph" w:customStyle="1" w:styleId="H6">
    <w:name w:val="H6"/>
    <w:basedOn w:val="Normal"/>
    <w:next w:val="Normal"/>
    <w:rsid w:val="0007116E"/>
    <w:pPr>
      <w:keepNext/>
      <w:widowControl w:val="0"/>
      <w:tabs>
        <w:tab w:val="clear" w:pos="794"/>
        <w:tab w:val="clear" w:pos="1191"/>
        <w:tab w:val="clear" w:pos="1588"/>
        <w:tab w:val="clear" w:pos="1985"/>
      </w:tabs>
      <w:overflowPunct/>
      <w:autoSpaceDE/>
      <w:autoSpaceDN/>
      <w:adjustRightInd/>
      <w:spacing w:before="100" w:after="100"/>
      <w:textAlignment w:val="auto"/>
      <w:outlineLvl w:val="6"/>
    </w:pPr>
    <w:rPr>
      <w:b/>
      <w:snapToGrid w:val="0"/>
      <w:sz w:val="16"/>
      <w:lang w:val="en-US"/>
    </w:rPr>
  </w:style>
  <w:style w:type="paragraph" w:customStyle="1" w:styleId="Address">
    <w:name w:val="Address"/>
    <w:basedOn w:val="Normal"/>
    <w:next w:val="Normal"/>
    <w:rsid w:val="0007116E"/>
    <w:pPr>
      <w:widowControl w:val="0"/>
      <w:tabs>
        <w:tab w:val="clear" w:pos="794"/>
        <w:tab w:val="clear" w:pos="1191"/>
        <w:tab w:val="clear" w:pos="1588"/>
        <w:tab w:val="clear" w:pos="1985"/>
      </w:tabs>
      <w:overflowPunct/>
      <w:autoSpaceDE/>
      <w:autoSpaceDN/>
      <w:adjustRightInd/>
      <w:spacing w:before="0"/>
      <w:textAlignment w:val="auto"/>
    </w:pPr>
    <w:rPr>
      <w:i/>
      <w:snapToGrid w:val="0"/>
      <w:lang w:val="en-US"/>
    </w:rPr>
  </w:style>
  <w:style w:type="character" w:customStyle="1" w:styleId="CITE">
    <w:name w:val="CITE"/>
    <w:rsid w:val="0007116E"/>
    <w:rPr>
      <w:i/>
    </w:rPr>
  </w:style>
  <w:style w:type="character" w:customStyle="1" w:styleId="CODE">
    <w:name w:val="CODE"/>
    <w:rsid w:val="0007116E"/>
    <w:rPr>
      <w:rFonts w:ascii="Courier New" w:hAnsi="Courier New"/>
      <w:sz w:val="20"/>
    </w:rPr>
  </w:style>
  <w:style w:type="character" w:customStyle="1" w:styleId="Keyboard">
    <w:name w:val="Keyboard"/>
    <w:rsid w:val="0007116E"/>
    <w:rPr>
      <w:rFonts w:ascii="Courier New" w:hAnsi="Courier New"/>
      <w:b/>
      <w:sz w:val="20"/>
    </w:rPr>
  </w:style>
  <w:style w:type="paragraph" w:customStyle="1" w:styleId="Preformatted">
    <w:name w:val="Preformatted"/>
    <w:basedOn w:val="Normal"/>
    <w:rsid w:val="0007116E"/>
    <w:pPr>
      <w:widowControl w:val="0"/>
      <w:tabs>
        <w:tab w:val="clear" w:pos="794"/>
        <w:tab w:val="clear" w:pos="1191"/>
        <w:tab w:val="clear" w:pos="1588"/>
        <w:tab w:val="clear" w:pos="1985"/>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textAlignment w:val="auto"/>
    </w:pPr>
    <w:rPr>
      <w:rFonts w:ascii="Courier New" w:hAnsi="Courier New"/>
      <w:snapToGrid w:val="0"/>
      <w:sz w:val="20"/>
      <w:lang w:val="en-US"/>
    </w:rPr>
  </w:style>
  <w:style w:type="character" w:customStyle="1" w:styleId="Sample">
    <w:name w:val="Sample"/>
    <w:rsid w:val="0007116E"/>
    <w:rPr>
      <w:rFonts w:ascii="Courier New" w:hAnsi="Courier New"/>
    </w:rPr>
  </w:style>
  <w:style w:type="character" w:customStyle="1" w:styleId="Typewriter">
    <w:name w:val="Typewriter"/>
    <w:rsid w:val="0007116E"/>
    <w:rPr>
      <w:rFonts w:ascii="Courier New" w:hAnsi="Courier New"/>
      <w:sz w:val="20"/>
    </w:rPr>
  </w:style>
  <w:style w:type="character" w:customStyle="1" w:styleId="Variable">
    <w:name w:val="Variable"/>
    <w:rsid w:val="0007116E"/>
    <w:rPr>
      <w:i/>
    </w:rPr>
  </w:style>
  <w:style w:type="character" w:customStyle="1" w:styleId="Comment">
    <w:name w:val="Comment"/>
    <w:rsid w:val="0007116E"/>
    <w:rPr>
      <w:vanish/>
    </w:rPr>
  </w:style>
  <w:style w:type="paragraph" w:styleId="BodyText2">
    <w:name w:val="Body Text 2"/>
    <w:basedOn w:val="Normal"/>
    <w:link w:val="BodyText2Char"/>
    <w:rsid w:val="0007116E"/>
    <w:pPr>
      <w:jc w:val="both"/>
    </w:pPr>
    <w:rPr>
      <w:sz w:val="22"/>
      <w:lang w:val="en-GB"/>
    </w:rPr>
  </w:style>
  <w:style w:type="character" w:customStyle="1" w:styleId="BodyText2Char">
    <w:name w:val="Body Text 2 Char"/>
    <w:basedOn w:val="DefaultParagraphFont"/>
    <w:link w:val="BodyText2"/>
    <w:rsid w:val="0007116E"/>
    <w:rPr>
      <w:rFonts w:ascii="Times New Roman" w:hAnsi="Times New Roman"/>
      <w:sz w:val="22"/>
      <w:lang w:val="en-GB" w:eastAsia="en-US"/>
    </w:rPr>
  </w:style>
  <w:style w:type="paragraph" w:styleId="Date">
    <w:name w:val="Date"/>
    <w:basedOn w:val="Normal"/>
    <w:next w:val="Normal"/>
    <w:link w:val="DateChar"/>
    <w:rsid w:val="0007116E"/>
    <w:pPr>
      <w:widowControl w:val="0"/>
      <w:tabs>
        <w:tab w:val="clear" w:pos="794"/>
        <w:tab w:val="clear" w:pos="1191"/>
        <w:tab w:val="clear" w:pos="1588"/>
        <w:tab w:val="clear" w:pos="1985"/>
      </w:tabs>
      <w:overflowPunct/>
      <w:autoSpaceDE/>
      <w:autoSpaceDN/>
      <w:adjustRightInd/>
      <w:spacing w:before="100" w:after="100"/>
      <w:textAlignment w:val="auto"/>
    </w:pPr>
    <w:rPr>
      <w:snapToGrid w:val="0"/>
      <w:lang w:val="en-US"/>
    </w:rPr>
  </w:style>
  <w:style w:type="character" w:customStyle="1" w:styleId="DateChar">
    <w:name w:val="Date Char"/>
    <w:basedOn w:val="DefaultParagraphFont"/>
    <w:link w:val="Date"/>
    <w:rsid w:val="0007116E"/>
    <w:rPr>
      <w:rFonts w:ascii="Times New Roman" w:hAnsi="Times New Roman"/>
      <w:snapToGrid w:val="0"/>
      <w:sz w:val="24"/>
      <w:lang w:eastAsia="en-US"/>
    </w:rPr>
  </w:style>
  <w:style w:type="table" w:customStyle="1" w:styleId="TableGrid1">
    <w:name w:val="Table Grid1"/>
    <w:basedOn w:val="TableNormal"/>
    <w:next w:val="TableGrid"/>
    <w:rsid w:val="0007116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
    <w:locked/>
    <w:rsid w:val="0007116E"/>
    <w:rPr>
      <w:rFonts w:ascii="Times New Roman Bold" w:hAnsi="Times New Roman Bold"/>
      <w:b/>
      <w:sz w:val="28"/>
      <w:lang w:val="en-GB" w:eastAsia="en-US"/>
    </w:rPr>
  </w:style>
  <w:style w:type="numbering" w:customStyle="1" w:styleId="NoList2">
    <w:name w:val="No List2"/>
    <w:next w:val="NoList"/>
    <w:uiPriority w:val="99"/>
    <w:semiHidden/>
    <w:unhideWhenUsed/>
    <w:rsid w:val="0007116E"/>
  </w:style>
  <w:style w:type="table" w:customStyle="1" w:styleId="TableGrid2">
    <w:name w:val="Table Grid2"/>
    <w:basedOn w:val="TableNormal"/>
    <w:next w:val="TableGrid"/>
    <w:rsid w:val="0007116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7116E"/>
  </w:style>
  <w:style w:type="table" w:customStyle="1" w:styleId="TableGrid3">
    <w:name w:val="Table Grid3"/>
    <w:basedOn w:val="TableNormal"/>
    <w:next w:val="TableGrid"/>
    <w:rsid w:val="0007116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07116E"/>
  </w:style>
  <w:style w:type="table" w:customStyle="1" w:styleId="TableGrid4">
    <w:name w:val="Table Grid4"/>
    <w:basedOn w:val="TableNormal"/>
    <w:next w:val="TableGrid"/>
    <w:rsid w:val="0007116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07116E"/>
  </w:style>
  <w:style w:type="table" w:customStyle="1" w:styleId="TableGrid5">
    <w:name w:val="Table Grid5"/>
    <w:basedOn w:val="TableNormal"/>
    <w:next w:val="TableGrid"/>
    <w:rsid w:val="0007116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7116E"/>
  </w:style>
  <w:style w:type="table" w:customStyle="1" w:styleId="TableGrid6">
    <w:name w:val="Table Grid6"/>
    <w:basedOn w:val="TableNormal"/>
    <w:next w:val="TableGrid"/>
    <w:uiPriority w:val="59"/>
    <w:rsid w:val="0007116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7116E"/>
  </w:style>
  <w:style w:type="table" w:customStyle="1" w:styleId="TableGrid11">
    <w:name w:val="Table Grid11"/>
    <w:basedOn w:val="TableNormal"/>
    <w:next w:val="TableGrid"/>
    <w:rsid w:val="0007116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07116E"/>
  </w:style>
  <w:style w:type="table" w:customStyle="1" w:styleId="TableGrid21">
    <w:name w:val="Table Grid21"/>
    <w:basedOn w:val="TableNormal"/>
    <w:next w:val="TableGrid"/>
    <w:rsid w:val="0007116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07116E"/>
  </w:style>
  <w:style w:type="table" w:customStyle="1" w:styleId="TableGrid31">
    <w:name w:val="Table Grid31"/>
    <w:basedOn w:val="TableNormal"/>
    <w:next w:val="TableGrid"/>
    <w:rsid w:val="0007116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07116E"/>
  </w:style>
  <w:style w:type="table" w:customStyle="1" w:styleId="TableGrid41">
    <w:name w:val="Table Grid41"/>
    <w:basedOn w:val="TableNormal"/>
    <w:next w:val="TableGrid"/>
    <w:rsid w:val="0007116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07116E"/>
  </w:style>
  <w:style w:type="table" w:customStyle="1" w:styleId="TableGrid51">
    <w:name w:val="Table Grid51"/>
    <w:basedOn w:val="TableNormal"/>
    <w:next w:val="TableGrid"/>
    <w:rsid w:val="0007116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07116E"/>
  </w:style>
  <w:style w:type="table" w:customStyle="1" w:styleId="TableGrid61">
    <w:name w:val="Table Grid61"/>
    <w:basedOn w:val="TableNormal"/>
    <w:next w:val="TableGrid"/>
    <w:rsid w:val="0007116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7116E"/>
    <w:rPr>
      <w:sz w:val="16"/>
      <w:szCs w:val="16"/>
    </w:rPr>
  </w:style>
  <w:style w:type="paragraph" w:styleId="CommentText">
    <w:name w:val="annotation text"/>
    <w:basedOn w:val="Normal"/>
    <w:link w:val="CommentTextChar"/>
    <w:uiPriority w:val="99"/>
    <w:semiHidden/>
    <w:unhideWhenUsed/>
    <w:rsid w:val="0007116E"/>
    <w:rPr>
      <w:sz w:val="20"/>
      <w:lang w:val="en-GB"/>
    </w:rPr>
  </w:style>
  <w:style w:type="character" w:customStyle="1" w:styleId="CommentTextChar">
    <w:name w:val="Comment Text Char"/>
    <w:basedOn w:val="DefaultParagraphFont"/>
    <w:link w:val="CommentText"/>
    <w:uiPriority w:val="99"/>
    <w:semiHidden/>
    <w:rsid w:val="0007116E"/>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07116E"/>
    <w:rPr>
      <w:b/>
      <w:bCs/>
    </w:rPr>
  </w:style>
  <w:style w:type="character" w:customStyle="1" w:styleId="CommentSubjectChar">
    <w:name w:val="Comment Subject Char"/>
    <w:basedOn w:val="CommentTextChar"/>
    <w:link w:val="CommentSubject"/>
    <w:uiPriority w:val="99"/>
    <w:semiHidden/>
    <w:rsid w:val="0007116E"/>
    <w:rPr>
      <w:rFonts w:ascii="Times New Roman" w:hAnsi="Times New Roman"/>
      <w:b/>
      <w:bCs/>
      <w:lang w:val="en-GB" w:eastAsia="en-US"/>
    </w:rPr>
  </w:style>
  <w:style w:type="numbering" w:customStyle="1" w:styleId="NoList7">
    <w:name w:val="No List7"/>
    <w:next w:val="NoList"/>
    <w:uiPriority w:val="99"/>
    <w:semiHidden/>
    <w:unhideWhenUsed/>
    <w:rsid w:val="0007116E"/>
  </w:style>
  <w:style w:type="table" w:customStyle="1" w:styleId="TableGrid7">
    <w:name w:val="Table Grid7"/>
    <w:basedOn w:val="TableNormal"/>
    <w:next w:val="TableGrid"/>
    <w:uiPriority w:val="59"/>
    <w:rsid w:val="0007116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7116E"/>
  </w:style>
  <w:style w:type="table" w:customStyle="1" w:styleId="TableGrid12">
    <w:name w:val="Table Grid12"/>
    <w:basedOn w:val="TableNormal"/>
    <w:next w:val="TableGrid"/>
    <w:rsid w:val="0007116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07116E"/>
  </w:style>
  <w:style w:type="table" w:customStyle="1" w:styleId="TableGrid22">
    <w:name w:val="Table Grid22"/>
    <w:basedOn w:val="TableNormal"/>
    <w:next w:val="TableGrid"/>
    <w:rsid w:val="0007116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07116E"/>
  </w:style>
  <w:style w:type="table" w:customStyle="1" w:styleId="TableGrid32">
    <w:name w:val="Table Grid32"/>
    <w:basedOn w:val="TableNormal"/>
    <w:next w:val="TableGrid"/>
    <w:rsid w:val="0007116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07116E"/>
  </w:style>
  <w:style w:type="table" w:customStyle="1" w:styleId="TableGrid42">
    <w:name w:val="Table Grid42"/>
    <w:basedOn w:val="TableNormal"/>
    <w:next w:val="TableGrid"/>
    <w:rsid w:val="0007116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07116E"/>
  </w:style>
  <w:style w:type="table" w:customStyle="1" w:styleId="TableGrid52">
    <w:name w:val="Table Grid52"/>
    <w:basedOn w:val="TableNormal"/>
    <w:next w:val="TableGrid"/>
    <w:rsid w:val="0007116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07116E"/>
  </w:style>
  <w:style w:type="table" w:customStyle="1" w:styleId="TableGrid62">
    <w:name w:val="Table Grid62"/>
    <w:basedOn w:val="TableNormal"/>
    <w:next w:val="TableGrid"/>
    <w:uiPriority w:val="59"/>
    <w:rsid w:val="0007116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07116E"/>
  </w:style>
  <w:style w:type="table" w:customStyle="1" w:styleId="TableGrid111">
    <w:name w:val="Table Grid111"/>
    <w:basedOn w:val="TableNormal"/>
    <w:next w:val="TableGrid"/>
    <w:rsid w:val="0007116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07116E"/>
  </w:style>
  <w:style w:type="table" w:customStyle="1" w:styleId="TableGrid211">
    <w:name w:val="Table Grid211"/>
    <w:basedOn w:val="TableNormal"/>
    <w:next w:val="TableGrid"/>
    <w:rsid w:val="0007116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07116E"/>
  </w:style>
  <w:style w:type="table" w:customStyle="1" w:styleId="TableGrid311">
    <w:name w:val="Table Grid311"/>
    <w:basedOn w:val="TableNormal"/>
    <w:next w:val="TableGrid"/>
    <w:rsid w:val="0007116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07116E"/>
  </w:style>
  <w:style w:type="table" w:customStyle="1" w:styleId="TableGrid411">
    <w:name w:val="Table Grid411"/>
    <w:basedOn w:val="TableNormal"/>
    <w:next w:val="TableGrid"/>
    <w:rsid w:val="0007116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07116E"/>
  </w:style>
  <w:style w:type="table" w:customStyle="1" w:styleId="TableGrid511">
    <w:name w:val="Table Grid511"/>
    <w:basedOn w:val="TableNormal"/>
    <w:next w:val="TableGrid"/>
    <w:rsid w:val="0007116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07116E"/>
  </w:style>
  <w:style w:type="table" w:customStyle="1" w:styleId="TableGrid611">
    <w:name w:val="Table Grid611"/>
    <w:basedOn w:val="TableNormal"/>
    <w:next w:val="TableGrid"/>
    <w:rsid w:val="0007116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07116E"/>
  </w:style>
  <w:style w:type="table" w:customStyle="1" w:styleId="TableGrid71">
    <w:name w:val="Table Grid71"/>
    <w:basedOn w:val="TableNormal"/>
    <w:next w:val="TableGrid"/>
    <w:rsid w:val="0007116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7116E"/>
    <w:rPr>
      <w:rFonts w:ascii="Times New Roman" w:hAnsi="Times New Roman"/>
      <w:sz w:val="24"/>
      <w:lang w:val="en-GB" w:eastAsia="en-US"/>
    </w:rPr>
  </w:style>
  <w:style w:type="character" w:customStyle="1" w:styleId="HeadingbChar">
    <w:name w:val="Heading_b Char"/>
    <w:basedOn w:val="DefaultParagraphFont"/>
    <w:link w:val="Headingb"/>
    <w:locked/>
    <w:rsid w:val="0007116E"/>
    <w:rPr>
      <w:rFonts w:ascii="Times New Roman" w:hAnsi="Times New Roman"/>
      <w:b/>
      <w:sz w:val="24"/>
      <w:lang w:val="es-ES_tradnl" w:eastAsia="en-US"/>
    </w:rPr>
  </w:style>
  <w:style w:type="character" w:customStyle="1" w:styleId="TableNoChar">
    <w:name w:val="Table_No Char"/>
    <w:basedOn w:val="DefaultParagraphFont"/>
    <w:link w:val="TableNo"/>
    <w:locked/>
    <w:rsid w:val="0007116E"/>
    <w:rPr>
      <w:rFonts w:ascii="Times New Roman" w:hAnsi="Times New Roman"/>
      <w:caps/>
      <w:sz w:val="24"/>
      <w:lang w:val="en-GB" w:eastAsia="en-US"/>
    </w:rPr>
  </w:style>
  <w:style w:type="paragraph" w:customStyle="1" w:styleId="Lege">
    <w:name w:val="Lege"/>
    <w:basedOn w:val="Normal"/>
    <w:rsid w:val="0007116E"/>
    <w:pPr>
      <w:tabs>
        <w:tab w:val="clear" w:pos="794"/>
        <w:tab w:val="clear" w:pos="1191"/>
        <w:tab w:val="clear" w:pos="1588"/>
        <w:tab w:val="clear" w:pos="1985"/>
      </w:tabs>
      <w:overflowPunct/>
      <w:autoSpaceDE/>
      <w:autoSpaceDN/>
      <w:adjustRightInd/>
      <w:spacing w:before="0"/>
      <w:textAlignment w:val="auto"/>
    </w:pPr>
    <w:rPr>
      <w:sz w:val="18"/>
      <w:szCs w:val="18"/>
    </w:rPr>
  </w:style>
  <w:style w:type="paragraph" w:customStyle="1" w:styleId="Default">
    <w:name w:val="Default"/>
    <w:rsid w:val="00FE5FE1"/>
    <w:pPr>
      <w:autoSpaceDE w:val="0"/>
      <w:autoSpaceDN w:val="0"/>
      <w:adjustRightInd w:val="0"/>
    </w:pPr>
    <w:rPr>
      <w:rFonts w:ascii="Times New Roman" w:eastAsiaTheme="minorEastAsia" w:hAnsi="Times New Roman"/>
      <w:color w:val="000000"/>
      <w:sz w:val="24"/>
      <w:szCs w:val="24"/>
    </w:rPr>
  </w:style>
  <w:style w:type="paragraph" w:customStyle="1" w:styleId="heading0">
    <w:name w:val="heading 0"/>
    <w:basedOn w:val="Heading1"/>
    <w:next w:val="Normal"/>
    <w:rsid w:val="00FE5FE1"/>
    <w:pPr>
      <w:tabs>
        <w:tab w:val="clear" w:pos="1191"/>
        <w:tab w:val="clear" w:pos="1588"/>
        <w:tab w:val="clear" w:pos="1985"/>
        <w:tab w:val="left" w:pos="2127"/>
        <w:tab w:val="left" w:pos="2410"/>
        <w:tab w:val="left" w:pos="2921"/>
        <w:tab w:val="left" w:pos="3261"/>
        <w:tab w:val="left" w:pos="4111"/>
        <w:tab w:val="center" w:pos="8505"/>
      </w:tabs>
      <w:spacing w:before="240"/>
      <w:ind w:left="0" w:firstLine="0"/>
      <w:outlineLvl w:val="9"/>
    </w:pPr>
    <w:rPr>
      <w:bCs/>
      <w:szCs w:val="24"/>
      <w:lang w:val="en-GB" w:eastAsia="zh-CN"/>
    </w:rPr>
  </w:style>
  <w:style w:type="paragraph" w:customStyle="1" w:styleId="AnnexNo">
    <w:name w:val="Annex_No"/>
    <w:basedOn w:val="Normal"/>
    <w:next w:val="Normal"/>
    <w:rsid w:val="00FE5FE1"/>
    <w:pPr>
      <w:keepNext/>
      <w:keepLines/>
      <w:tabs>
        <w:tab w:val="clear" w:pos="794"/>
        <w:tab w:val="clear" w:pos="1191"/>
        <w:tab w:val="clear" w:pos="1588"/>
        <w:tab w:val="clear" w:pos="1985"/>
        <w:tab w:val="left" w:pos="1134"/>
        <w:tab w:val="left" w:pos="1871"/>
        <w:tab w:val="left" w:pos="2268"/>
      </w:tabs>
      <w:spacing w:before="720"/>
      <w:jc w:val="center"/>
    </w:pPr>
    <w:rPr>
      <w:caps/>
      <w:sz w:val="28"/>
      <w:lang w:val="en-GB"/>
    </w:rPr>
  </w:style>
  <w:style w:type="paragraph" w:customStyle="1" w:styleId="Char">
    <w:name w:val="Char"/>
    <w:basedOn w:val="Normal"/>
    <w:rsid w:val="00FE5FE1"/>
    <w:pPr>
      <w:tabs>
        <w:tab w:val="clear" w:pos="794"/>
        <w:tab w:val="clear" w:pos="1191"/>
        <w:tab w:val="clear" w:pos="1588"/>
        <w:tab w:val="clear" w:pos="1985"/>
      </w:tabs>
      <w:overflowPunct/>
      <w:autoSpaceDE/>
      <w:autoSpaceDN/>
      <w:adjustRightInd/>
      <w:spacing w:before="0" w:after="160" w:line="240" w:lineRule="exact"/>
      <w:textAlignment w:val="auto"/>
    </w:pPr>
    <w:rPr>
      <w:rFonts w:ascii="Arial" w:hAnsi="Arial"/>
      <w:sz w:val="20"/>
      <w:lang w:val="fr-FR" w:eastAsia="zh-CN"/>
    </w:rPr>
  </w:style>
  <w:style w:type="character" w:styleId="UnresolvedMention">
    <w:name w:val="Unresolved Mention"/>
    <w:basedOn w:val="DefaultParagraphFont"/>
    <w:uiPriority w:val="99"/>
    <w:semiHidden/>
    <w:unhideWhenUsed/>
    <w:rsid w:val="008E0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103899">
      <w:bodyDiv w:val="1"/>
      <w:marLeft w:val="0"/>
      <w:marRight w:val="0"/>
      <w:marTop w:val="0"/>
      <w:marBottom w:val="0"/>
      <w:divBdr>
        <w:top w:val="none" w:sz="0" w:space="0" w:color="auto"/>
        <w:left w:val="none" w:sz="0" w:space="0" w:color="auto"/>
        <w:bottom w:val="none" w:sz="0" w:space="0" w:color="auto"/>
        <w:right w:val="none" w:sz="0" w:space="0" w:color="auto"/>
      </w:divBdr>
    </w:div>
    <w:div w:id="267667372">
      <w:bodyDiv w:val="1"/>
      <w:marLeft w:val="0"/>
      <w:marRight w:val="0"/>
      <w:marTop w:val="0"/>
      <w:marBottom w:val="0"/>
      <w:divBdr>
        <w:top w:val="none" w:sz="0" w:space="0" w:color="auto"/>
        <w:left w:val="none" w:sz="0" w:space="0" w:color="auto"/>
        <w:bottom w:val="none" w:sz="0" w:space="0" w:color="auto"/>
        <w:right w:val="none" w:sz="0" w:space="0" w:color="auto"/>
      </w:divBdr>
    </w:div>
    <w:div w:id="589393002">
      <w:bodyDiv w:val="1"/>
      <w:marLeft w:val="0"/>
      <w:marRight w:val="0"/>
      <w:marTop w:val="0"/>
      <w:marBottom w:val="0"/>
      <w:divBdr>
        <w:top w:val="none" w:sz="0" w:space="0" w:color="auto"/>
        <w:left w:val="none" w:sz="0" w:space="0" w:color="auto"/>
        <w:bottom w:val="none" w:sz="0" w:space="0" w:color="auto"/>
        <w:right w:val="none" w:sz="0" w:space="0" w:color="auto"/>
      </w:divBdr>
    </w:div>
    <w:div w:id="707219980">
      <w:bodyDiv w:val="1"/>
      <w:marLeft w:val="0"/>
      <w:marRight w:val="0"/>
      <w:marTop w:val="0"/>
      <w:marBottom w:val="0"/>
      <w:divBdr>
        <w:top w:val="none" w:sz="0" w:space="0" w:color="auto"/>
        <w:left w:val="none" w:sz="0" w:space="0" w:color="auto"/>
        <w:bottom w:val="none" w:sz="0" w:space="0" w:color="auto"/>
        <w:right w:val="none" w:sz="0" w:space="0" w:color="auto"/>
      </w:divBdr>
    </w:div>
    <w:div w:id="1432503616">
      <w:bodyDiv w:val="1"/>
      <w:marLeft w:val="0"/>
      <w:marRight w:val="0"/>
      <w:marTop w:val="0"/>
      <w:marBottom w:val="0"/>
      <w:divBdr>
        <w:top w:val="none" w:sz="0" w:space="0" w:color="auto"/>
        <w:left w:val="none" w:sz="0" w:space="0" w:color="auto"/>
        <w:bottom w:val="none" w:sz="0" w:space="0" w:color="auto"/>
        <w:right w:val="none" w:sz="0" w:space="0" w:color="auto"/>
      </w:divBdr>
    </w:div>
    <w:div w:id="200601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R12-WRC12-C-0550/es" TargetMode="External"/><Relationship Id="rId21" Type="http://schemas.openxmlformats.org/officeDocument/2006/relationships/hyperlink" Target="https://www.itu.int/itudoc/itu-r/archives/wrc/wrc-2000/docs/500-544/538-es.html" TargetMode="External"/><Relationship Id="rId63" Type="http://schemas.openxmlformats.org/officeDocument/2006/relationships/hyperlink" Target="https://www.itu.int/md/R03-WRC03-C-0370/es" TargetMode="External"/><Relationship Id="rId159" Type="http://schemas.openxmlformats.org/officeDocument/2006/relationships/hyperlink" Target="https://www.itu.int/md/R12-WRC12-C-0554/es" TargetMode="External"/><Relationship Id="rId170" Type="http://schemas.openxmlformats.org/officeDocument/2006/relationships/hyperlink" Target="https://www.itu.int/md/R12-WRC12-C-0521/es" TargetMode="External"/><Relationship Id="rId226" Type="http://schemas.openxmlformats.org/officeDocument/2006/relationships/hyperlink" Target="https://www.itu.int/md/R16-WRC19-C-0338/es" TargetMode="External"/><Relationship Id="rId268" Type="http://schemas.openxmlformats.org/officeDocument/2006/relationships/hyperlink" Target="https://www.itu.int/md/R16-WRC19-C-0402/es" TargetMode="External"/><Relationship Id="rId32" Type="http://schemas.openxmlformats.org/officeDocument/2006/relationships/hyperlink" Target="https://www.itu.int/md/R03-WRC03-C-0319/es" TargetMode="External"/><Relationship Id="rId74" Type="http://schemas.openxmlformats.org/officeDocument/2006/relationships/hyperlink" Target="https://www.itu.int/md/R07-WRC07-C-0065/es" TargetMode="External"/><Relationship Id="rId128" Type="http://schemas.openxmlformats.org/officeDocument/2006/relationships/hyperlink" Target="https://www.itu.int/md/R12-WRC12-C-0244/es" TargetMode="External"/><Relationship Id="rId5" Type="http://schemas.openxmlformats.org/officeDocument/2006/relationships/webSettings" Target="webSettings.xml"/><Relationship Id="rId181" Type="http://schemas.openxmlformats.org/officeDocument/2006/relationships/hyperlink" Target="https://www.itu.int/md/R00-CR-CIR-0456/es" TargetMode="External"/><Relationship Id="rId237" Type="http://schemas.openxmlformats.org/officeDocument/2006/relationships/hyperlink" Target="https://www.itu.int/md/R00-CR-CIR-0471/es" TargetMode="External"/><Relationship Id="rId279" Type="http://schemas.openxmlformats.org/officeDocument/2006/relationships/hyperlink" Target="https://www.itu.int/md/R16-WRC19-C-0563/es" TargetMode="External"/><Relationship Id="rId43" Type="http://schemas.openxmlformats.org/officeDocument/2006/relationships/hyperlink" Target="https://www.itu.int/md/R03-WRC03-C-0384/es" TargetMode="External"/><Relationship Id="rId139" Type="http://schemas.openxmlformats.org/officeDocument/2006/relationships/hyperlink" Target="https://www.itu.int/md/R12-WRC12-C-0524/es" TargetMode="External"/><Relationship Id="rId290" Type="http://schemas.openxmlformats.org/officeDocument/2006/relationships/fontTable" Target="fontTable.xml"/><Relationship Id="rId85" Type="http://schemas.openxmlformats.org/officeDocument/2006/relationships/hyperlink" Target="https://www.itu.int/md/R07-RRB.07.3-C-0005/es" TargetMode="External"/><Relationship Id="rId150" Type="http://schemas.openxmlformats.org/officeDocument/2006/relationships/hyperlink" Target="https://www.itu.int/md/R12-WRC12-C-0526/es" TargetMode="External"/><Relationship Id="rId192" Type="http://schemas.openxmlformats.org/officeDocument/2006/relationships/hyperlink" Target="https://www.itu.int/md/R00-CR-CIR-0412/es" TargetMode="External"/><Relationship Id="rId206" Type="http://schemas.openxmlformats.org/officeDocument/2006/relationships/hyperlink" Target="https://www.itu.int/md/R00-CR-CIR-0412/es" TargetMode="External"/><Relationship Id="rId248" Type="http://schemas.openxmlformats.org/officeDocument/2006/relationships/image" Target="media/image4.emf"/><Relationship Id="rId12" Type="http://schemas.openxmlformats.org/officeDocument/2006/relationships/footer" Target="footer1.xml"/><Relationship Id="rId33" Type="http://schemas.openxmlformats.org/officeDocument/2006/relationships/hyperlink" Target="http://www.itu.int/md/R03-WRC03-C-0398/en" TargetMode="External"/><Relationship Id="rId108" Type="http://schemas.openxmlformats.org/officeDocument/2006/relationships/hyperlink" Target="https://www.itu.int/md/R00-CR-CIR-0373/es" TargetMode="External"/><Relationship Id="rId129" Type="http://schemas.openxmlformats.org/officeDocument/2006/relationships/hyperlink" Target="https://www.itu.int/md/R14-RRB14.1-C-0003/es" TargetMode="External"/><Relationship Id="rId280" Type="http://schemas.openxmlformats.org/officeDocument/2006/relationships/hyperlink" Target="https://www.itu.int/md/R16-WRC19-C-0573/es" TargetMode="External"/><Relationship Id="rId54" Type="http://schemas.openxmlformats.org/officeDocument/2006/relationships/hyperlink" Target="https://www.itu.int/md/R03-WRC03-C-0165/es" TargetMode="External"/><Relationship Id="rId75" Type="http://schemas.openxmlformats.org/officeDocument/2006/relationships/hyperlink" Target="https://www.itu.int/md/R07-WRC07-C-0005/es" TargetMode="External"/><Relationship Id="rId96" Type="http://schemas.openxmlformats.org/officeDocument/2006/relationships/hyperlink" Target="https://www.itu.int/md/R07-WRC07-C-0378/es" TargetMode="External"/><Relationship Id="rId140" Type="http://schemas.openxmlformats.org/officeDocument/2006/relationships/hyperlink" Target="https://www.itu.int/md/R12-WRC12-C-0139/es" TargetMode="External"/><Relationship Id="rId161" Type="http://schemas.openxmlformats.org/officeDocument/2006/relationships/hyperlink" Target="https://www.itu.int/md/R12-CPM15.02-C-0001/es" TargetMode="External"/><Relationship Id="rId182" Type="http://schemas.openxmlformats.org/officeDocument/2006/relationships/hyperlink" Target="https://www.itu.int/md/R15-WRC15-C-0505/es" TargetMode="External"/><Relationship Id="rId217" Type="http://schemas.openxmlformats.org/officeDocument/2006/relationships/hyperlink" Target="https://www.itu.int/md/R00-CR-CIR-0465/es" TargetMode="External"/><Relationship Id="rId6" Type="http://schemas.openxmlformats.org/officeDocument/2006/relationships/footnotes" Target="footnotes.xml"/><Relationship Id="rId238" Type="http://schemas.openxmlformats.org/officeDocument/2006/relationships/hyperlink" Target="https://www.itu.int/md/R16-WRC19-C-0569/es" TargetMode="External"/><Relationship Id="rId259" Type="http://schemas.openxmlformats.org/officeDocument/2006/relationships/hyperlink" Target="https://www.itu.int/md/R16-WRC19-C-0500/es" TargetMode="External"/><Relationship Id="rId23" Type="http://schemas.openxmlformats.org/officeDocument/2006/relationships/hyperlink" Target="https://www.itu.int/itudoc/gs/council/c00/docs/35-es.html" TargetMode="External"/><Relationship Id="rId119" Type="http://schemas.openxmlformats.org/officeDocument/2006/relationships/hyperlink" Target="https://www.itu.int/md/R12-WRC12-C-0552/es" TargetMode="External"/><Relationship Id="rId270" Type="http://schemas.openxmlformats.org/officeDocument/2006/relationships/hyperlink" Target="https://www.itu.int/md/R16-WRC19-C-0518/es" TargetMode="External"/><Relationship Id="rId291" Type="http://schemas.openxmlformats.org/officeDocument/2006/relationships/theme" Target="theme/theme1.xml"/><Relationship Id="rId44" Type="http://schemas.openxmlformats.org/officeDocument/2006/relationships/hyperlink" Target="https://www.itu.int/md/R03-WRC03-C-0012/es" TargetMode="External"/><Relationship Id="rId65" Type="http://schemas.openxmlformats.org/officeDocument/2006/relationships/hyperlink" Target="https://www.itu.int/md/R07-WRC07-C-0399/es" TargetMode="External"/><Relationship Id="rId86" Type="http://schemas.openxmlformats.org/officeDocument/2006/relationships/hyperlink" Target="https://www.itu.int/md/R08-RRB.08-C-0005/es" TargetMode="External"/><Relationship Id="rId130" Type="http://schemas.openxmlformats.org/officeDocument/2006/relationships/hyperlink" Target="https://www.itu.int/md/R14-RRB14.2-C-0004/es" TargetMode="External"/><Relationship Id="rId151" Type="http://schemas.openxmlformats.org/officeDocument/2006/relationships/hyperlink" Target="http://www.itu.int/md/R12-WRC12-C-0141/en" TargetMode="External"/><Relationship Id="rId172" Type="http://schemas.openxmlformats.org/officeDocument/2006/relationships/hyperlink" Target="https://www.itu.int/md/R15-WRC15-C-0230/es" TargetMode="External"/><Relationship Id="rId193" Type="http://schemas.openxmlformats.org/officeDocument/2006/relationships/hyperlink" Target="https://www.itu.int/md/R00-CR-CIR-0412/es" TargetMode="External"/><Relationship Id="rId207" Type="http://schemas.openxmlformats.org/officeDocument/2006/relationships/hyperlink" Target="https://www.itu.int/md/R15-WRC15-C-0511/es" TargetMode="External"/><Relationship Id="rId228" Type="http://schemas.openxmlformats.org/officeDocument/2006/relationships/hyperlink" Target="https://www.itu.int/md/R16-WRC19-C-0568/es" TargetMode="External"/><Relationship Id="rId249" Type="http://schemas.openxmlformats.org/officeDocument/2006/relationships/image" Target="media/image5.emf"/><Relationship Id="rId13" Type="http://schemas.openxmlformats.org/officeDocument/2006/relationships/footer" Target="footer2.xml"/><Relationship Id="rId109" Type="http://schemas.openxmlformats.org/officeDocument/2006/relationships/hyperlink" Target="https://www.itu.int/md/R12-WRC12-C-0549/es" TargetMode="External"/><Relationship Id="rId260" Type="http://schemas.openxmlformats.org/officeDocument/2006/relationships/hyperlink" Target="https://www.itu.int/md/R00-CR-CIR-0471/es" TargetMode="External"/><Relationship Id="rId281" Type="http://schemas.openxmlformats.org/officeDocument/2006/relationships/hyperlink" Target="https://www.itu.int/md/R16-WRC19-C-0554/es" TargetMode="External"/><Relationship Id="rId34" Type="http://schemas.openxmlformats.org/officeDocument/2006/relationships/hyperlink" Target="https://www.itu.int/md/R03-WRC03-C-0315/es" TargetMode="External"/><Relationship Id="rId55" Type="http://schemas.openxmlformats.org/officeDocument/2006/relationships/hyperlink" Target="https://www.itu.int/md/R03-WRC03-C-0382/es" TargetMode="External"/><Relationship Id="rId76" Type="http://schemas.openxmlformats.org/officeDocument/2006/relationships/hyperlink" Target="https://www.itu.int/md/R07-WRC07-C-0004/es" TargetMode="External"/><Relationship Id="rId97" Type="http://schemas.openxmlformats.org/officeDocument/2006/relationships/hyperlink" Target="https://www.itu.int/md/R07-WRC07-C-0378/es" TargetMode="External"/><Relationship Id="rId120" Type="http://schemas.openxmlformats.org/officeDocument/2006/relationships/hyperlink" Target="https://www.itu.int/md/R12-WRC12-C-0517/es" TargetMode="External"/><Relationship Id="rId141" Type="http://schemas.openxmlformats.org/officeDocument/2006/relationships/hyperlink" Target="https://www.itu.int/md/R12-WRC12-C-0554/es" TargetMode="External"/><Relationship Id="rId7" Type="http://schemas.openxmlformats.org/officeDocument/2006/relationships/endnotes" Target="endnotes.xml"/><Relationship Id="rId162" Type="http://schemas.openxmlformats.org/officeDocument/2006/relationships/hyperlink" Target="https://www.itu.int/md/R12-CPM15.02-C-0002/es" TargetMode="External"/><Relationship Id="rId183" Type="http://schemas.openxmlformats.org/officeDocument/2006/relationships/hyperlink" Target="https://www.itu.int/md/R15-WRC15-C-0004/es" TargetMode="External"/><Relationship Id="rId218" Type="http://schemas.openxmlformats.org/officeDocument/2006/relationships/hyperlink" Target="https://www.itu.int/md/R16-WRC19-C-0469/es" TargetMode="External"/><Relationship Id="rId239" Type="http://schemas.openxmlformats.org/officeDocument/2006/relationships/hyperlink" Target="https://www.itu.int/md/R16-WRC19-C-0452/es" TargetMode="External"/><Relationship Id="rId250" Type="http://schemas.openxmlformats.org/officeDocument/2006/relationships/hyperlink" Target="https://www.itu.int/md/meetingdoc.asp?lang=es&amp;parent=R16-WRC19-C-0092" TargetMode="External"/><Relationship Id="rId271" Type="http://schemas.openxmlformats.org/officeDocument/2006/relationships/hyperlink" Target="https://www.itu.int/md/R16-WRC19-C-0573/es" TargetMode="External"/><Relationship Id="rId292" Type="http://schemas.openxmlformats.org/officeDocument/2006/relationships/customXml" Target="../customXml/item2.xml"/><Relationship Id="rId24" Type="http://schemas.openxmlformats.org/officeDocument/2006/relationships/hyperlink" Target="https://www.itu.int/itudoc/gs/council/c01/docs/035-es.html" TargetMode="External"/><Relationship Id="rId45" Type="http://schemas.openxmlformats.org/officeDocument/2006/relationships/hyperlink" Target="https://www.itu.int/md/R03-WRC03-C-0043/es" TargetMode="External"/><Relationship Id="rId66" Type="http://schemas.openxmlformats.org/officeDocument/2006/relationships/hyperlink" Target="https://www.itu.int/md/R07-WRC07-C-0278/es" TargetMode="External"/><Relationship Id="rId87" Type="http://schemas.openxmlformats.org/officeDocument/2006/relationships/hyperlink" Target="https://www.itu.int/md/R08-RRB.08.2-C-0007/es" TargetMode="External"/><Relationship Id="rId110" Type="http://schemas.openxmlformats.org/officeDocument/2006/relationships/hyperlink" Target="https://www.itu.int/md/R12-WRC12-C-0418/es" TargetMode="External"/><Relationship Id="rId131" Type="http://schemas.openxmlformats.org/officeDocument/2006/relationships/hyperlink" Target="https://www.itu.int/md/R14-RRB14.2-C-0009/es" TargetMode="External"/><Relationship Id="rId152" Type="http://schemas.openxmlformats.org/officeDocument/2006/relationships/hyperlink" Target="https://www.itu.int/md/R12-WRC12-C-0526/es" TargetMode="External"/><Relationship Id="rId173" Type="http://schemas.openxmlformats.org/officeDocument/2006/relationships/hyperlink" Target="https://www.itu.int/md/R15-WRC15-C-0272/es" TargetMode="External"/><Relationship Id="rId194" Type="http://schemas.openxmlformats.org/officeDocument/2006/relationships/hyperlink" Target="https://www.itu.int/md/R00-CR-CIR-0412/es" TargetMode="External"/><Relationship Id="rId208" Type="http://schemas.openxmlformats.org/officeDocument/2006/relationships/hyperlink" Target="https://www.itu.int/md/R16-WRC19-C-0237/es" TargetMode="External"/><Relationship Id="rId229" Type="http://schemas.openxmlformats.org/officeDocument/2006/relationships/hyperlink" Target="https://www.itu.int/md/R16-WRC19-C-0238/es" TargetMode="External"/><Relationship Id="rId240" Type="http://schemas.openxmlformats.org/officeDocument/2006/relationships/hyperlink" Target="https://www.itu.int/md/R00-CR-CIR-0465/es" TargetMode="External"/><Relationship Id="rId261" Type="http://schemas.openxmlformats.org/officeDocument/2006/relationships/hyperlink" Target="https://www.itu.int/md/R16-WRC19-C-0571/es" TargetMode="External"/><Relationship Id="rId14" Type="http://schemas.openxmlformats.org/officeDocument/2006/relationships/hyperlink" Target="https://www.itu.int/itudoc/itu-r/archives/wrc/wrc-97/docs3/391-es.html" TargetMode="External"/><Relationship Id="rId35" Type="http://schemas.openxmlformats.org/officeDocument/2006/relationships/hyperlink" Target="http://www.itu.int/md/R03-WRC03-C-0403/en" TargetMode="External"/><Relationship Id="rId56" Type="http://schemas.openxmlformats.org/officeDocument/2006/relationships/hyperlink" Target="https://www.itu.int/md/R03-WRC03-C-0410/es" TargetMode="External"/><Relationship Id="rId77" Type="http://schemas.openxmlformats.org/officeDocument/2006/relationships/hyperlink" Target="http://www.itu.int/md/R07-WRC07-C-0030/en" TargetMode="External"/><Relationship Id="rId100" Type="http://schemas.openxmlformats.org/officeDocument/2006/relationships/hyperlink" Target="https://www.itu.int/md/R07-WRC07-C-0406/es" TargetMode="External"/><Relationship Id="rId282" Type="http://schemas.openxmlformats.org/officeDocument/2006/relationships/hyperlink" Target="https://www.itu.int/md/R16-WRC19-C-0573/es" TargetMode="External"/><Relationship Id="rId8" Type="http://schemas.openxmlformats.org/officeDocument/2006/relationships/hyperlink" Target="https://www.itu.int/md/R00-CR-CIR-0333/es" TargetMode="External"/><Relationship Id="rId98" Type="http://schemas.openxmlformats.org/officeDocument/2006/relationships/hyperlink" Target="https://www.itu.int/md/R00-CR-CIR-0312/es" TargetMode="External"/><Relationship Id="rId121" Type="http://schemas.openxmlformats.org/officeDocument/2006/relationships/hyperlink" Target="https://www.itu.int/md/R12-WRC12-C-0517/es" TargetMode="External"/><Relationship Id="rId142" Type="http://schemas.openxmlformats.org/officeDocument/2006/relationships/hyperlink" Target="https://www.itu.int/md/R12-WRC12-C-0554/es" TargetMode="External"/><Relationship Id="rId163" Type="http://schemas.openxmlformats.org/officeDocument/2006/relationships/hyperlink" Target="https://www.itu.int/md/R12-WRC12-C-0554/es" TargetMode="External"/><Relationship Id="rId184" Type="http://schemas.openxmlformats.org/officeDocument/2006/relationships/hyperlink" Target="https://www.itu.int/md/R15-WRC15-C-0505/es" TargetMode="External"/><Relationship Id="rId219" Type="http://schemas.openxmlformats.org/officeDocument/2006/relationships/hyperlink" Target="https://www.itu.int/md/R16-WRC19-C-0293/es" TargetMode="External"/><Relationship Id="rId230" Type="http://schemas.openxmlformats.org/officeDocument/2006/relationships/hyperlink" Target="https://www.itu.int/md/R16-WRC19-C-0569/es" TargetMode="External"/><Relationship Id="rId251" Type="http://schemas.openxmlformats.org/officeDocument/2006/relationships/hyperlink" Target="https://www.itu.int/md/meetingdoc.asp?lang=es&amp;parent=R16-WRC19-C-0048" TargetMode="External"/><Relationship Id="rId25" Type="http://schemas.openxmlformats.org/officeDocument/2006/relationships/hyperlink" Target="https://www.itu.int/itudoc/itu-r/archives/wrc/wrc-2000/docs/500-544/540-es.html" TargetMode="External"/><Relationship Id="rId46" Type="http://schemas.openxmlformats.org/officeDocument/2006/relationships/hyperlink" Target="https://www.itu.int/md/R03-WRC03-C-0123/es" TargetMode="External"/><Relationship Id="rId67" Type="http://schemas.openxmlformats.org/officeDocument/2006/relationships/hyperlink" Target="https://www.itu.int/md/R07-WRC07-C-0431/es" TargetMode="External"/><Relationship Id="rId272" Type="http://schemas.openxmlformats.org/officeDocument/2006/relationships/hyperlink" Target="https://www.itu.int/md/R16-WRC19-C-0518/es" TargetMode="External"/><Relationship Id="rId293" Type="http://schemas.openxmlformats.org/officeDocument/2006/relationships/customXml" Target="../customXml/item3.xml"/><Relationship Id="rId88" Type="http://schemas.openxmlformats.org/officeDocument/2006/relationships/hyperlink" Target="https://www.itu.int/md/R08-RRB.08.3-C-0005/es" TargetMode="External"/><Relationship Id="rId111" Type="http://schemas.openxmlformats.org/officeDocument/2006/relationships/hyperlink" Target="https://www.itu.int/md/R12-WRC12-C-0549/es" TargetMode="External"/><Relationship Id="rId132" Type="http://schemas.openxmlformats.org/officeDocument/2006/relationships/hyperlink" Target="https://www.itu.int/md/R14-RRB14.2-C-0010/es" TargetMode="External"/><Relationship Id="rId153" Type="http://schemas.openxmlformats.org/officeDocument/2006/relationships/hyperlink" Target="https://www.itu.int/md/R12-WRC12-C-0526/es" TargetMode="External"/><Relationship Id="rId174" Type="http://schemas.openxmlformats.org/officeDocument/2006/relationships/hyperlink" Target="https://www.itu.int/md/R15-WRC15-C-0272/es" TargetMode="External"/><Relationship Id="rId195" Type="http://schemas.openxmlformats.org/officeDocument/2006/relationships/hyperlink" Target="https://www.itu.int/md/R00-CR-CIR-0412/es" TargetMode="External"/><Relationship Id="rId209" Type="http://schemas.openxmlformats.org/officeDocument/2006/relationships/hyperlink" Target="https://www.itu.int/md/R16-WRC19-C-0201/es" TargetMode="External"/><Relationship Id="rId220" Type="http://schemas.openxmlformats.org/officeDocument/2006/relationships/hyperlink" Target="https://www.itu.int/md/R16-WRC19-C-0469/es" TargetMode="External"/><Relationship Id="rId241" Type="http://schemas.openxmlformats.org/officeDocument/2006/relationships/hyperlink" Target="https://www.itu.int/md/R16-WRC19-C-0569/es" TargetMode="External"/><Relationship Id="rId15" Type="http://schemas.openxmlformats.org/officeDocument/2006/relationships/hyperlink" Target="https://www.itu.int/itudoc/itu-r/archives/wrc/wrc-97/docs3/363-es.html" TargetMode="External"/><Relationship Id="rId36" Type="http://schemas.openxmlformats.org/officeDocument/2006/relationships/hyperlink" Target="https://www.itu.int/md/R03-WRC03-C-0370/es" TargetMode="External"/><Relationship Id="rId57" Type="http://schemas.openxmlformats.org/officeDocument/2006/relationships/hyperlink" Target="https://www.itu.int/md/R03-WRC03-C-0392/es" TargetMode="External"/><Relationship Id="rId262" Type="http://schemas.openxmlformats.org/officeDocument/2006/relationships/hyperlink" Target="https://www.itu.int/md/R16-WRC19-C-0509/es" TargetMode="External"/><Relationship Id="rId283" Type="http://schemas.openxmlformats.org/officeDocument/2006/relationships/hyperlink" Target="https://www.itu.int/md/R16-WRC19-C-0535/es" TargetMode="External"/><Relationship Id="rId78" Type="http://schemas.openxmlformats.org/officeDocument/2006/relationships/hyperlink" Target="https://www.itu.int/md/R07-WRC07-C-0039/es" TargetMode="External"/><Relationship Id="rId99" Type="http://schemas.openxmlformats.org/officeDocument/2006/relationships/hyperlink" Target="https://www.itu.int/md/R07-WRC07-C-0432/es" TargetMode="External"/><Relationship Id="rId101" Type="http://schemas.openxmlformats.org/officeDocument/2006/relationships/hyperlink" Target="https://www.itu.int/md/R07-WRC07-C-0391/es" TargetMode="External"/><Relationship Id="rId122" Type="http://schemas.openxmlformats.org/officeDocument/2006/relationships/hyperlink" Target="https://www.itu.int/md/R12-WRC12-C-0517/es" TargetMode="External"/><Relationship Id="rId143" Type="http://schemas.openxmlformats.org/officeDocument/2006/relationships/hyperlink" Target="https://www.itu.int/md/R12-WRC12-C-0525/es" TargetMode="External"/><Relationship Id="rId164" Type="http://schemas.openxmlformats.org/officeDocument/2006/relationships/hyperlink" Target="https://www.itu.int/md/R12-WRC12-C-0532/es" TargetMode="External"/><Relationship Id="rId185" Type="http://schemas.openxmlformats.org/officeDocument/2006/relationships/image" Target="media/image1.png"/><Relationship Id="rId9" Type="http://schemas.openxmlformats.org/officeDocument/2006/relationships/hyperlink" Target="https://www.itu.int/md/R00-CR-CIR-0389/es" TargetMode="External"/><Relationship Id="rId210" Type="http://schemas.openxmlformats.org/officeDocument/2006/relationships/hyperlink" Target="https://www.itu.int/md/R16-WRC19-C-0237/es" TargetMode="External"/><Relationship Id="rId26" Type="http://schemas.openxmlformats.org/officeDocument/2006/relationships/hyperlink" Target="https://www.itu.int/md/R00-CR-CIR-0171/es" TargetMode="External"/><Relationship Id="rId231" Type="http://schemas.openxmlformats.org/officeDocument/2006/relationships/hyperlink" Target="https://www.itu.int/md/R16-WRC19-C-0344/es" TargetMode="External"/><Relationship Id="rId252" Type="http://schemas.openxmlformats.org/officeDocument/2006/relationships/hyperlink" Target="https://www.itu.int/md/meetingdoc.asp?lang=es&amp;parent=R16-WRC19-C-0035" TargetMode="External"/><Relationship Id="rId273" Type="http://schemas.openxmlformats.org/officeDocument/2006/relationships/hyperlink" Target="https://www.itu.int/md/R20-RRB20.3-C-0014/es" TargetMode="External"/><Relationship Id="rId294" Type="http://schemas.openxmlformats.org/officeDocument/2006/relationships/customXml" Target="../customXml/item4.xml"/><Relationship Id="rId47" Type="http://schemas.openxmlformats.org/officeDocument/2006/relationships/hyperlink" Target="https://www.itu.int/md/R03-WRC03-C-0124/es" TargetMode="External"/><Relationship Id="rId68" Type="http://schemas.openxmlformats.org/officeDocument/2006/relationships/hyperlink" Target="https://www.itu.int/md/R07-WRC07-C-0118/es" TargetMode="External"/><Relationship Id="rId89" Type="http://schemas.openxmlformats.org/officeDocument/2006/relationships/hyperlink" Target="https://www.itu.int/md/R09-RRB.09-C-0005/es" TargetMode="External"/><Relationship Id="rId112" Type="http://schemas.openxmlformats.org/officeDocument/2006/relationships/hyperlink" Target="https://www.itu.int/md/R12-WRC12-C-0482/es" TargetMode="External"/><Relationship Id="rId133" Type="http://schemas.openxmlformats.org/officeDocument/2006/relationships/hyperlink" Target="https://www.itu.int/md/R14-RRB14.2-C-0016/es" TargetMode="External"/><Relationship Id="rId154" Type="http://schemas.openxmlformats.org/officeDocument/2006/relationships/hyperlink" Target="https://www.itu.int/md/R00-CR-CIR-0339/es" TargetMode="External"/><Relationship Id="rId175" Type="http://schemas.openxmlformats.org/officeDocument/2006/relationships/hyperlink" Target="https://www.itu.int/md/R00-CR-CIR-0417/es" TargetMode="External"/><Relationship Id="rId196" Type="http://schemas.openxmlformats.org/officeDocument/2006/relationships/hyperlink" Target="https://www.itu.int/md/R00-CR-CIR-0412/es" TargetMode="External"/><Relationship Id="rId200" Type="http://schemas.openxmlformats.org/officeDocument/2006/relationships/hyperlink" Target="https://www.itu.int/md/R00-CR-CIR-0412/es" TargetMode="External"/><Relationship Id="rId16" Type="http://schemas.openxmlformats.org/officeDocument/2006/relationships/hyperlink" Target="https://www.itu.int/itudoc/itu-r/archives/wrc/wrc-2000/docs/200-299/268-es.html" TargetMode="External"/><Relationship Id="rId221" Type="http://schemas.openxmlformats.org/officeDocument/2006/relationships/hyperlink" Target="https://www.itu.int/md/R16-WRC19-C-0289/es" TargetMode="External"/><Relationship Id="rId242" Type="http://schemas.openxmlformats.org/officeDocument/2006/relationships/hyperlink" Target="https://www.itu.int/md/R16-WRC19-C-0471/es" TargetMode="External"/><Relationship Id="rId263" Type="http://schemas.openxmlformats.org/officeDocument/2006/relationships/hyperlink" Target="https://www.itu.int/md/R00-CR-CIR-0471/es" TargetMode="External"/><Relationship Id="rId284" Type="http://schemas.openxmlformats.org/officeDocument/2006/relationships/hyperlink" Target="https://www.itu.int/md/R00-CR-CIR-0465/es" TargetMode="External"/><Relationship Id="rId37" Type="http://schemas.openxmlformats.org/officeDocument/2006/relationships/hyperlink" Target="https://www.itu.int/md/R00-CR-CIR-0201/es" TargetMode="External"/><Relationship Id="rId58" Type="http://schemas.openxmlformats.org/officeDocument/2006/relationships/hyperlink" Target="https://www.itu.int/md/R03-WRC03-C-0391/es" TargetMode="External"/><Relationship Id="rId79" Type="http://schemas.openxmlformats.org/officeDocument/2006/relationships/hyperlink" Target="https://www.itu.int/md/R07-WRC07-C-0041/es" TargetMode="External"/><Relationship Id="rId102" Type="http://schemas.openxmlformats.org/officeDocument/2006/relationships/hyperlink" Target="https://www.itu.int/md/R00-CR-CIR-0287/es" TargetMode="External"/><Relationship Id="rId123" Type="http://schemas.openxmlformats.org/officeDocument/2006/relationships/hyperlink" Target="https://www.itu.int/md/R12-WRC12-C-0552/es" TargetMode="External"/><Relationship Id="rId144" Type="http://schemas.openxmlformats.org/officeDocument/2006/relationships/hyperlink" Target="https://www.itu.int/md/R12-WRC12-C-0554/es" TargetMode="External"/><Relationship Id="rId90" Type="http://schemas.openxmlformats.org/officeDocument/2006/relationships/hyperlink" Target="https://www.itu.int/md/R09-RRB.09.3-C-0006/es" TargetMode="External"/><Relationship Id="rId165" Type="http://schemas.openxmlformats.org/officeDocument/2006/relationships/hyperlink" Target="https://www.itu.int/md/R12-WRC12-C-0555/es" TargetMode="External"/><Relationship Id="rId186" Type="http://schemas.openxmlformats.org/officeDocument/2006/relationships/hyperlink" Target="https://www.itu.int/md/R00-CR-CIR-0412/es" TargetMode="External"/><Relationship Id="rId211" Type="http://schemas.openxmlformats.org/officeDocument/2006/relationships/hyperlink" Target="https://www.itu.int/md/R16-WRC19-C-0189/es" TargetMode="External"/><Relationship Id="rId232" Type="http://schemas.openxmlformats.org/officeDocument/2006/relationships/hyperlink" Target="https://www.itu.int/md/R16-WRC19-C-0569/es" TargetMode="External"/><Relationship Id="rId253" Type="http://schemas.openxmlformats.org/officeDocument/2006/relationships/hyperlink" Target="https://www.itu.int/md/R16-WRC19-C-0164/es" TargetMode="External"/><Relationship Id="rId274" Type="http://schemas.openxmlformats.org/officeDocument/2006/relationships/hyperlink" Target="https://www.itu.int/md/R16-WRC19-C-0573/es" TargetMode="External"/><Relationship Id="rId27" Type="http://schemas.openxmlformats.org/officeDocument/2006/relationships/hyperlink" Target="https://www.itu.int/itudoc/itu-r/archives/wrc/wrc-2000/docs/500-544/540.html" TargetMode="External"/><Relationship Id="rId48" Type="http://schemas.openxmlformats.org/officeDocument/2006/relationships/hyperlink" Target="https://www.itu.int/md/R03-WRC03-C-0221/es" TargetMode="External"/><Relationship Id="rId69" Type="http://schemas.openxmlformats.org/officeDocument/2006/relationships/hyperlink" Target="https://www.itu.int/md/R07-WRC07-C-0431/es" TargetMode="External"/><Relationship Id="rId113" Type="http://schemas.openxmlformats.org/officeDocument/2006/relationships/hyperlink" Target="https://www.itu.int/md/R12-WRC12-C-0550/es" TargetMode="External"/><Relationship Id="rId134" Type="http://schemas.openxmlformats.org/officeDocument/2006/relationships/hyperlink" Target="https://www.itu.int/md/R12-WRC12-C-0554/es" TargetMode="External"/><Relationship Id="rId80" Type="http://schemas.openxmlformats.org/officeDocument/2006/relationships/hyperlink" Target="https://www.itu.int/md/R07-WRC07-C-0065/es" TargetMode="External"/><Relationship Id="rId155" Type="http://schemas.openxmlformats.org/officeDocument/2006/relationships/hyperlink" Target="https://www.itu.int/md/R00-CR-CIR-0339/es" TargetMode="External"/><Relationship Id="rId176" Type="http://schemas.openxmlformats.org/officeDocument/2006/relationships/hyperlink" Target="https://www.itu.int/md/R00-CR-CIR-0412/es" TargetMode="External"/><Relationship Id="rId197" Type="http://schemas.openxmlformats.org/officeDocument/2006/relationships/hyperlink" Target="https://www.itu.int/md/R15-WRC15-C-0505/es" TargetMode="External"/><Relationship Id="rId201" Type="http://schemas.openxmlformats.org/officeDocument/2006/relationships/hyperlink" Target="https://www.itu.int/md/R15-WRC15-C-0510/es" TargetMode="External"/><Relationship Id="rId222" Type="http://schemas.openxmlformats.org/officeDocument/2006/relationships/hyperlink" Target="https://www.itu.int/md/R16-WRC19-C-0568/es" TargetMode="External"/><Relationship Id="rId243" Type="http://schemas.openxmlformats.org/officeDocument/2006/relationships/hyperlink" Target="https://www.itu.int/md/R00-CR-CIR-0471/es" TargetMode="External"/><Relationship Id="rId264" Type="http://schemas.openxmlformats.org/officeDocument/2006/relationships/hyperlink" Target="https://www.itu.int/md/R16-WRC19-C-0571/es" TargetMode="External"/><Relationship Id="rId285" Type="http://schemas.openxmlformats.org/officeDocument/2006/relationships/hyperlink" Target="https://www.itu.int/md/R16-WRC19-C-0575/es" TargetMode="External"/><Relationship Id="rId17" Type="http://schemas.openxmlformats.org/officeDocument/2006/relationships/hyperlink" Target="https://www.itu.int/itudoc/itu-r/archives/wrc/wrc-2000/docs/100-199/178-es.html" TargetMode="External"/><Relationship Id="rId38" Type="http://schemas.openxmlformats.org/officeDocument/2006/relationships/hyperlink" Target="http://www.itu.int/md/R03-WRC03-C-0403/en" TargetMode="External"/><Relationship Id="rId59" Type="http://schemas.openxmlformats.org/officeDocument/2006/relationships/hyperlink" Target="https://www.itu.int/md/R03-WRC03-C-0392/es" TargetMode="External"/><Relationship Id="rId103" Type="http://schemas.openxmlformats.org/officeDocument/2006/relationships/hyperlink" Target="https://www.itu.int/md/R12-WRC12-C-0329/es" TargetMode="External"/><Relationship Id="rId124" Type="http://schemas.openxmlformats.org/officeDocument/2006/relationships/hyperlink" Target="https://www.itu.int/md/R12-WRC12-C-0553/es" TargetMode="External"/><Relationship Id="rId70" Type="http://schemas.openxmlformats.org/officeDocument/2006/relationships/hyperlink" Target="https://www.itu.int/md/R07-WRC07-C-0337/es" TargetMode="External"/><Relationship Id="rId91" Type="http://schemas.openxmlformats.org/officeDocument/2006/relationships/hyperlink" Target="https://www.itu.int/md/R07-WRC07-C-0431/es" TargetMode="External"/><Relationship Id="rId145" Type="http://schemas.openxmlformats.org/officeDocument/2006/relationships/hyperlink" Target="https://www.itu.int/md/R12-WRC12-C-0525/es" TargetMode="External"/><Relationship Id="rId166" Type="http://schemas.openxmlformats.org/officeDocument/2006/relationships/hyperlink" Target="https://www.itu.int/md/R12-WRC12-C-0544/es" TargetMode="External"/><Relationship Id="rId187" Type="http://schemas.openxmlformats.org/officeDocument/2006/relationships/hyperlink" Target="https://www.itu.int/md/R00-CR-CIR-0412/es" TargetMode="External"/><Relationship Id="rId1" Type="http://schemas.openxmlformats.org/officeDocument/2006/relationships/customXml" Target="../customXml/item1.xml"/><Relationship Id="rId212" Type="http://schemas.openxmlformats.org/officeDocument/2006/relationships/hyperlink" Target="https://www.itu.int/md/R00-CR-CIR-0471/es" TargetMode="External"/><Relationship Id="rId233" Type="http://schemas.openxmlformats.org/officeDocument/2006/relationships/hyperlink" Target="https://www.itu.int/md/R16-WRC19-C-0347/es" TargetMode="External"/><Relationship Id="rId254" Type="http://schemas.openxmlformats.org/officeDocument/2006/relationships/hyperlink" Target="https://www.itu.int/md/R20-RRB20.2-C-0029/es" TargetMode="External"/><Relationship Id="rId28" Type="http://schemas.openxmlformats.org/officeDocument/2006/relationships/hyperlink" Target="https://www.itu.int/itudoc/itu-r/archives/wrc/wrc-2000/docs/400-499/493-es.html" TargetMode="External"/><Relationship Id="rId49" Type="http://schemas.openxmlformats.org/officeDocument/2006/relationships/hyperlink" Target="https://www.itu.int/md/R03-WRC03-C-0384/es" TargetMode="External"/><Relationship Id="rId114" Type="http://schemas.openxmlformats.org/officeDocument/2006/relationships/hyperlink" Target="https://www.itu.int/md/R12-WRC12-C-0056/es" TargetMode="External"/><Relationship Id="rId275" Type="http://schemas.openxmlformats.org/officeDocument/2006/relationships/hyperlink" Target="https://www.itu.int/md/R16-WRC19-C-0550/es" TargetMode="External"/><Relationship Id="rId60" Type="http://schemas.openxmlformats.org/officeDocument/2006/relationships/hyperlink" Target="https://www.itu.int/md/R03-WRC03-C-0410/es" TargetMode="External"/><Relationship Id="rId81" Type="http://schemas.openxmlformats.org/officeDocument/2006/relationships/hyperlink" Target="https://www.itu.int/md/R07-WRC07-C-0005/es" TargetMode="External"/><Relationship Id="rId135" Type="http://schemas.openxmlformats.org/officeDocument/2006/relationships/hyperlink" Target="https://www.itu.int/md/R12-WRC12-C-0006/es" TargetMode="External"/><Relationship Id="rId156" Type="http://schemas.openxmlformats.org/officeDocument/2006/relationships/hyperlink" Target="https://www.itu.int/md/R12-WRC12-C-0554/es" TargetMode="External"/><Relationship Id="rId177" Type="http://schemas.openxmlformats.org/officeDocument/2006/relationships/hyperlink" Target="https://www.itu.int/md/R15-WRC15-C-0430/es" TargetMode="External"/><Relationship Id="rId198" Type="http://schemas.openxmlformats.org/officeDocument/2006/relationships/hyperlink" Target="https://www.itu.int/md/R15-WRC15-C-0508/es" TargetMode="External"/><Relationship Id="rId202" Type="http://schemas.openxmlformats.org/officeDocument/2006/relationships/hyperlink" Target="https://www.itu.int/md/R00-CR-CIR-0402/es" TargetMode="External"/><Relationship Id="rId223" Type="http://schemas.openxmlformats.org/officeDocument/2006/relationships/hyperlink" Target="https://www.itu.int/md/R16-WRC19-C-0303/es" TargetMode="External"/><Relationship Id="rId244" Type="http://schemas.openxmlformats.org/officeDocument/2006/relationships/hyperlink" Target="https://www.itu.int/md/R16-WRC19-C-0571/es" TargetMode="External"/><Relationship Id="rId18" Type="http://schemas.openxmlformats.org/officeDocument/2006/relationships/hyperlink" Target="https://www.itu.int/itudoc/itu-r/archives/wrc/wrc-2000/docs/200-299/268-es.html" TargetMode="External"/><Relationship Id="rId39" Type="http://schemas.openxmlformats.org/officeDocument/2006/relationships/hyperlink" Target="https://www.itu.int/md/R03-WRC03-C-0322/es" TargetMode="External"/><Relationship Id="rId265" Type="http://schemas.openxmlformats.org/officeDocument/2006/relationships/hyperlink" Target="https://www.itu.int/md/R16-WRC19-C-0510/es" TargetMode="External"/><Relationship Id="rId286" Type="http://schemas.openxmlformats.org/officeDocument/2006/relationships/hyperlink" Target="https://www.itu.int/md/R16-WRC19-C-0566/es" TargetMode="External"/><Relationship Id="rId50" Type="http://schemas.openxmlformats.org/officeDocument/2006/relationships/hyperlink" Target="https://www.itu.int/md/R03-WRC03-C-0409/es" TargetMode="External"/><Relationship Id="rId104" Type="http://schemas.openxmlformats.org/officeDocument/2006/relationships/hyperlink" Target="https://www.itu.int/md/R12-WRC12-C-0548/es" TargetMode="External"/><Relationship Id="rId125" Type="http://schemas.openxmlformats.org/officeDocument/2006/relationships/hyperlink" Target="https://www.itu.int/md/R00-CR-CIR-0339/es" TargetMode="External"/><Relationship Id="rId146" Type="http://schemas.openxmlformats.org/officeDocument/2006/relationships/hyperlink" Target="https://www.itu.int/md/R12-WRC12-C-0554/es" TargetMode="External"/><Relationship Id="rId167" Type="http://schemas.openxmlformats.org/officeDocument/2006/relationships/hyperlink" Target="https://www.itu.int/md/R12-WRC12-C-0521/es" TargetMode="External"/><Relationship Id="rId188" Type="http://schemas.openxmlformats.org/officeDocument/2006/relationships/hyperlink" Target="https://www.itu.int/md/R00-CR-CIR-0412/es" TargetMode="External"/><Relationship Id="rId71" Type="http://schemas.openxmlformats.org/officeDocument/2006/relationships/hyperlink" Target="https://www.itu.int/md/R07-WRC07-C-0030/es" TargetMode="External"/><Relationship Id="rId92" Type="http://schemas.openxmlformats.org/officeDocument/2006/relationships/hyperlink" Target="https://www.itu.int/md/R07-WRC07-C-0345/es" TargetMode="External"/><Relationship Id="rId213" Type="http://schemas.openxmlformats.org/officeDocument/2006/relationships/hyperlink" Target="https://www.itu.int/md/R16-WRC19-C-0469/es" TargetMode="External"/><Relationship Id="rId234" Type="http://schemas.openxmlformats.org/officeDocument/2006/relationships/hyperlink" Target="https://www.itu.int/md/R16-WRC19-C-0569/es" TargetMode="External"/><Relationship Id="rId2" Type="http://schemas.openxmlformats.org/officeDocument/2006/relationships/numbering" Target="numbering.xml"/><Relationship Id="rId29" Type="http://schemas.openxmlformats.org/officeDocument/2006/relationships/hyperlink" Target="https://www.itu.int/md/R00-CR-CIR-0171/es" TargetMode="External"/><Relationship Id="rId255" Type="http://schemas.openxmlformats.org/officeDocument/2006/relationships/hyperlink" Target="https://www.itu.int/md/R20-RRB20.3-C-0014/es" TargetMode="External"/><Relationship Id="rId276" Type="http://schemas.openxmlformats.org/officeDocument/2006/relationships/hyperlink" Target="https://www.itu.int/md/R16-WRC19-C-0573/es" TargetMode="External"/><Relationship Id="rId40" Type="http://schemas.openxmlformats.org/officeDocument/2006/relationships/hyperlink" Target="https://www.itu.int/md/R03-WRC03-C-0322/es" TargetMode="External"/><Relationship Id="rId115" Type="http://schemas.openxmlformats.org/officeDocument/2006/relationships/hyperlink" Target="https://www.itu.int/md/R12-WRC12-C-0450/es" TargetMode="External"/><Relationship Id="rId136" Type="http://schemas.openxmlformats.org/officeDocument/2006/relationships/hyperlink" Target="https://www.itu.int/md/R12-WRC12-C-0006/es" TargetMode="External"/><Relationship Id="rId157" Type="http://schemas.openxmlformats.org/officeDocument/2006/relationships/hyperlink" Target="https://www.itu.int/md/R12-CPM15.02-C-0001/es" TargetMode="External"/><Relationship Id="rId178" Type="http://schemas.openxmlformats.org/officeDocument/2006/relationships/hyperlink" Target="https://www.itu.int/md/R15-WRC15-C-0504/es" TargetMode="External"/><Relationship Id="rId61" Type="http://schemas.openxmlformats.org/officeDocument/2006/relationships/hyperlink" Target="https://www.itu.int/md/R03-WRC03-C-0370/es" TargetMode="External"/><Relationship Id="rId82" Type="http://schemas.openxmlformats.org/officeDocument/2006/relationships/hyperlink" Target="https://www.itu.int/md/R07-WRC07-C-0004/es" TargetMode="External"/><Relationship Id="rId199" Type="http://schemas.openxmlformats.org/officeDocument/2006/relationships/hyperlink" Target="https://www.itu.int/md/R15-WRC15-C-0509/es" TargetMode="External"/><Relationship Id="rId203" Type="http://schemas.openxmlformats.org/officeDocument/2006/relationships/hyperlink" Target="https://www.itu.int/md/R15-WRC15-C-0511/es" TargetMode="External"/><Relationship Id="rId19" Type="http://schemas.openxmlformats.org/officeDocument/2006/relationships/hyperlink" Target="https://www.itu.int/itudoc/itu-r/archives/wrc/wrc-2000/docs/500-544/537-es.html" TargetMode="External"/><Relationship Id="rId224" Type="http://schemas.openxmlformats.org/officeDocument/2006/relationships/hyperlink" Target="https://www.itu.int/md/R00-CR-CIR-0471/es" TargetMode="External"/><Relationship Id="rId245" Type="http://schemas.openxmlformats.org/officeDocument/2006/relationships/hyperlink" Target="https://www.itu.int/md/R16-WRC19-C-0518/es" TargetMode="External"/><Relationship Id="rId266" Type="http://schemas.openxmlformats.org/officeDocument/2006/relationships/hyperlink" Target="https://www.itu.int/md/R00-CR-CIR-0471/es" TargetMode="External"/><Relationship Id="rId287" Type="http://schemas.openxmlformats.org/officeDocument/2006/relationships/header" Target="header2.xml"/><Relationship Id="rId30" Type="http://schemas.openxmlformats.org/officeDocument/2006/relationships/hyperlink" Target="https://www.itu.int/md/R00-CR-CIR-0181/es" TargetMode="External"/><Relationship Id="rId105" Type="http://schemas.openxmlformats.org/officeDocument/2006/relationships/hyperlink" Target="https://www.itu.int/md/R12-WRC12-C-0549/es" TargetMode="External"/><Relationship Id="rId126" Type="http://schemas.openxmlformats.org/officeDocument/2006/relationships/hyperlink" Target="https://www.itu.int/md/R12-WRC12-C-0554/es" TargetMode="External"/><Relationship Id="rId147" Type="http://schemas.openxmlformats.org/officeDocument/2006/relationships/hyperlink" Target="https://www.itu.int/md/R12-WRC12-C-0554/es" TargetMode="External"/><Relationship Id="rId168" Type="http://schemas.openxmlformats.org/officeDocument/2006/relationships/hyperlink" Target="https://www.itu.int/md/R12-WRC12-C-0535/es" TargetMode="External"/><Relationship Id="rId51" Type="http://schemas.openxmlformats.org/officeDocument/2006/relationships/hyperlink" Target="https://www.itu.int/md/R03-WRC03-C-0165/es" TargetMode="External"/><Relationship Id="rId72" Type="http://schemas.openxmlformats.org/officeDocument/2006/relationships/hyperlink" Target="https://www.itu.int/md/R07-WRC07-C-0039/es" TargetMode="External"/><Relationship Id="rId93" Type="http://schemas.openxmlformats.org/officeDocument/2006/relationships/hyperlink" Target="https://www.itu.int/md/R07-WRC07-C-0345/es" TargetMode="External"/><Relationship Id="rId189" Type="http://schemas.openxmlformats.org/officeDocument/2006/relationships/hyperlink" Target="https://www.itu.int/md/R00-CR-CIR-0412/es" TargetMode="External"/><Relationship Id="rId3" Type="http://schemas.openxmlformats.org/officeDocument/2006/relationships/styles" Target="styles.xml"/><Relationship Id="rId214" Type="http://schemas.openxmlformats.org/officeDocument/2006/relationships/hyperlink" Target="https://www.itu.int/md/R16-WRC19-C-0228/es" TargetMode="External"/><Relationship Id="rId235" Type="http://schemas.openxmlformats.org/officeDocument/2006/relationships/hyperlink" Target="https://www.itu.int/md/R16-WRC19-C-0451/es" TargetMode="External"/><Relationship Id="rId256" Type="http://schemas.openxmlformats.org/officeDocument/2006/relationships/hyperlink" Target="https://www.itu.int/md/R16-WRC19-C-0571/es" TargetMode="External"/><Relationship Id="rId277" Type="http://schemas.openxmlformats.org/officeDocument/2006/relationships/hyperlink" Target="https://www.itu.int/md/R16-WRC19-C-0283/es" TargetMode="External"/><Relationship Id="rId116" Type="http://schemas.openxmlformats.org/officeDocument/2006/relationships/hyperlink" Target="https://www.itu.int/md/R00-CR-CIR-0339/es" TargetMode="External"/><Relationship Id="rId137" Type="http://schemas.openxmlformats.org/officeDocument/2006/relationships/hyperlink" Target="https://www.itu.int/md/R00-CR-CIR-0346/es" TargetMode="External"/><Relationship Id="rId158" Type="http://schemas.openxmlformats.org/officeDocument/2006/relationships/hyperlink" Target="https://www.itu.int/md/R12-CPM15.02-C-0002/es" TargetMode="External"/><Relationship Id="rId20" Type="http://schemas.openxmlformats.org/officeDocument/2006/relationships/hyperlink" Target="https://www.itu.int/md/R00-CR-CIR-0151/es" TargetMode="External"/><Relationship Id="rId41" Type="http://schemas.openxmlformats.org/officeDocument/2006/relationships/hyperlink" Target="https://www.itu.int/md/R03-WRC03-C-0405/es" TargetMode="External"/><Relationship Id="rId62" Type="http://schemas.openxmlformats.org/officeDocument/2006/relationships/hyperlink" Target="https://www.itu.int/md/R03-WRC03-C-0370/es" TargetMode="External"/><Relationship Id="rId83" Type="http://schemas.openxmlformats.org/officeDocument/2006/relationships/hyperlink" Target="http://www.itu.int/md/R07-WRC07-C-0030/en" TargetMode="External"/><Relationship Id="rId179" Type="http://schemas.openxmlformats.org/officeDocument/2006/relationships/hyperlink" Target="https://www.itu.int/md/R15-WRC15-C-0504/es" TargetMode="External"/><Relationship Id="rId190" Type="http://schemas.openxmlformats.org/officeDocument/2006/relationships/hyperlink" Target="https://www.itu.int/md/R00-CR-CIR-0412/es" TargetMode="External"/><Relationship Id="rId204" Type="http://schemas.openxmlformats.org/officeDocument/2006/relationships/hyperlink" Target="https://www.itu.int/md/R15-WRC15-C-0511/es" TargetMode="External"/><Relationship Id="rId225" Type="http://schemas.openxmlformats.org/officeDocument/2006/relationships/hyperlink" Target="https://www.itu.int/md/R16-WRC19-C-0568/es" TargetMode="External"/><Relationship Id="rId246" Type="http://schemas.openxmlformats.org/officeDocument/2006/relationships/image" Target="media/image2.emf"/><Relationship Id="rId267" Type="http://schemas.openxmlformats.org/officeDocument/2006/relationships/hyperlink" Target="https://www.itu.int/md/R16-WRC19-C-0572/es" TargetMode="External"/><Relationship Id="rId288" Type="http://schemas.openxmlformats.org/officeDocument/2006/relationships/footer" Target="footer3.xml"/><Relationship Id="rId106" Type="http://schemas.openxmlformats.org/officeDocument/2006/relationships/hyperlink" Target="https://www.itu.int/md/R12-WRC12-C-0491/es" TargetMode="External"/><Relationship Id="rId127" Type="http://schemas.openxmlformats.org/officeDocument/2006/relationships/hyperlink" Target="https://www.itu.int/md/R12-WRC12-C-0138/es" TargetMode="External"/><Relationship Id="rId10" Type="http://schemas.openxmlformats.org/officeDocument/2006/relationships/hyperlink" Target="https://www.itu.int/md/R00-CR-CIR-0456/es" TargetMode="External"/><Relationship Id="rId31" Type="http://schemas.openxmlformats.org/officeDocument/2006/relationships/hyperlink" Target="https://www.itu.int/md/R00-CR-CIR-0187/es" TargetMode="External"/><Relationship Id="rId52" Type="http://schemas.openxmlformats.org/officeDocument/2006/relationships/hyperlink" Target="https://www.itu.int/md/R03-WRC03-C-0165/es" TargetMode="External"/><Relationship Id="rId73" Type="http://schemas.openxmlformats.org/officeDocument/2006/relationships/hyperlink" Target="https://www.itu.int/md/R07-WRC07-C-0041/es" TargetMode="External"/><Relationship Id="rId94" Type="http://schemas.openxmlformats.org/officeDocument/2006/relationships/hyperlink" Target="http://www.itu.int/md/R07-WRC07-C-0432/en" TargetMode="External"/><Relationship Id="rId148" Type="http://schemas.openxmlformats.org/officeDocument/2006/relationships/hyperlink" Target="https://www.itu.int/md/R12-WRC12-C-0554/es" TargetMode="External"/><Relationship Id="rId169" Type="http://schemas.openxmlformats.org/officeDocument/2006/relationships/hyperlink" Target="https://www.itu.int/md/R12-WRC12-C-0544/es" TargetMode="External"/><Relationship Id="rId4" Type="http://schemas.openxmlformats.org/officeDocument/2006/relationships/settings" Target="settings.xml"/><Relationship Id="rId180" Type="http://schemas.openxmlformats.org/officeDocument/2006/relationships/hyperlink" Target="https://www.itu.int/md/R00-CR-CIR-0389/es" TargetMode="External"/><Relationship Id="rId215" Type="http://schemas.openxmlformats.org/officeDocument/2006/relationships/hyperlink" Target="https://www.itu.int/md/R16-WRC19-C-0469/es" TargetMode="External"/><Relationship Id="rId236" Type="http://schemas.openxmlformats.org/officeDocument/2006/relationships/hyperlink" Target="https://www.itu.int/md/R16-WRC19-C-0351/es" TargetMode="External"/><Relationship Id="rId257" Type="http://schemas.openxmlformats.org/officeDocument/2006/relationships/hyperlink" Target="https://www.itu.int/md/R16-WRC19-C-0499/es" TargetMode="External"/><Relationship Id="rId278" Type="http://schemas.openxmlformats.org/officeDocument/2006/relationships/hyperlink" Target="https://www.itu.int/md/R16-WRC19-C-0573/es" TargetMode="External"/><Relationship Id="rId42" Type="http://schemas.openxmlformats.org/officeDocument/2006/relationships/hyperlink" Target="https://www.itu.int/md/R03-WRC03-C-0409/es" TargetMode="External"/><Relationship Id="rId84" Type="http://schemas.openxmlformats.org/officeDocument/2006/relationships/hyperlink" Target="https://www.itu.int/md/R12-WRC12-C-0004/es" TargetMode="External"/><Relationship Id="rId138" Type="http://schemas.openxmlformats.org/officeDocument/2006/relationships/hyperlink" Target="https://www.itu.int/md/R12-WRC12-C-0554/es" TargetMode="External"/><Relationship Id="rId191" Type="http://schemas.openxmlformats.org/officeDocument/2006/relationships/hyperlink" Target="https://www.itu.int/md/R00-CR-CIR-0412/es" TargetMode="External"/><Relationship Id="rId205" Type="http://schemas.openxmlformats.org/officeDocument/2006/relationships/hyperlink" Target="https://www.itu.int/md/R15-WRC15-C-0511/es" TargetMode="External"/><Relationship Id="rId247" Type="http://schemas.openxmlformats.org/officeDocument/2006/relationships/image" Target="media/image3.emf"/><Relationship Id="rId107" Type="http://schemas.openxmlformats.org/officeDocument/2006/relationships/hyperlink" Target="https://www.itu.int/md/R12-WRC12-C-0057/es" TargetMode="External"/><Relationship Id="rId289" Type="http://schemas.openxmlformats.org/officeDocument/2006/relationships/header" Target="header3.xml"/><Relationship Id="rId11" Type="http://schemas.openxmlformats.org/officeDocument/2006/relationships/header" Target="header1.xml"/><Relationship Id="rId53" Type="http://schemas.openxmlformats.org/officeDocument/2006/relationships/hyperlink" Target="https://www.itu.int/md/R03-WRC03-C-0165/es" TargetMode="External"/><Relationship Id="rId149" Type="http://schemas.openxmlformats.org/officeDocument/2006/relationships/hyperlink" Target="https://www.itu.int/md/R12-WRC12-C-0526/es" TargetMode="External"/><Relationship Id="rId95" Type="http://schemas.openxmlformats.org/officeDocument/2006/relationships/hyperlink" Target="https://www.itu.int/md/R07-WRC07-C-0004/es" TargetMode="External"/><Relationship Id="rId160" Type="http://schemas.openxmlformats.org/officeDocument/2006/relationships/hyperlink" Target="https://www.itu.int/md/R12-WRC12-C-0523/es" TargetMode="External"/><Relationship Id="rId216" Type="http://schemas.openxmlformats.org/officeDocument/2006/relationships/hyperlink" Target="https://www.itu.int/md/R16-WRC19-C-0232/es" TargetMode="External"/><Relationship Id="rId258" Type="http://schemas.openxmlformats.org/officeDocument/2006/relationships/hyperlink" Target="https://www.itu.int/md/R16-WRC19-C-0571/es" TargetMode="External"/><Relationship Id="rId22" Type="http://schemas.openxmlformats.org/officeDocument/2006/relationships/hyperlink" Target="https://www.itu.int/itudoc/itu-r/archives/wrc/wrc-2000/docs/500-544/539-es.html" TargetMode="External"/><Relationship Id="rId64" Type="http://schemas.openxmlformats.org/officeDocument/2006/relationships/hyperlink" Target="https://www.itu.int/md/R00-CR-CIR-0208/es" TargetMode="External"/><Relationship Id="rId118" Type="http://schemas.openxmlformats.org/officeDocument/2006/relationships/hyperlink" Target="https://www.itu.int/md/R12-WRC12-C-0450/es" TargetMode="External"/><Relationship Id="rId171" Type="http://schemas.openxmlformats.org/officeDocument/2006/relationships/hyperlink" Target="https://www.itu.int/md/R15-WRC15-C-0272/es" TargetMode="External"/><Relationship Id="rId227" Type="http://schemas.openxmlformats.org/officeDocument/2006/relationships/hyperlink" Target="https://www.itu.int/md/R15-WRC15-C-0004/es" TargetMode="External"/><Relationship Id="rId269" Type="http://schemas.openxmlformats.org/officeDocument/2006/relationships/hyperlink" Target="https://www.itu.int/md/R16-WRC19-C-0573/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PS_RRB20-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CE43468486C0D408445654D9B6D046F" ma:contentTypeVersion="1" ma:contentTypeDescription="Create a new document." ma:contentTypeScope="" ma:versionID="fea4b75b8956b49dce81bffd95599ab3">
  <xsd:schema xmlns:xsd="http://www.w3.org/2001/XMLSchema" xmlns:xs="http://www.w3.org/2001/XMLSchema" xmlns:p="http://schemas.microsoft.com/office/2006/metadata/properties" xmlns:ns1="http://schemas.microsoft.com/sharepoint/v3" targetNamespace="http://schemas.microsoft.com/office/2006/metadata/properties" ma:root="true" ma:fieldsID="b345722d146e7751d163e781f97691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706A6C-87B9-440F-ADD9-C0545E3DDF7B}"/>
</file>

<file path=customXml/itemProps2.xml><?xml version="1.0" encoding="utf-8"?>
<ds:datastoreItem xmlns:ds="http://schemas.openxmlformats.org/officeDocument/2006/customXml" ds:itemID="{541DDAB2-8A62-446D-BF2B-AFAE45F39F2C}"/>
</file>

<file path=customXml/itemProps3.xml><?xml version="1.0" encoding="utf-8"?>
<ds:datastoreItem xmlns:ds="http://schemas.openxmlformats.org/officeDocument/2006/customXml" ds:itemID="{66D1D50A-7E03-4F06-B868-70C5EBA15B03}"/>
</file>

<file path=customXml/itemProps4.xml><?xml version="1.0" encoding="utf-8"?>
<ds:datastoreItem xmlns:ds="http://schemas.openxmlformats.org/officeDocument/2006/customXml" ds:itemID="{1CF24D90-C147-4B0A-89FC-75784F6FB01E}"/>
</file>

<file path=docProps/app.xml><?xml version="1.0" encoding="utf-8"?>
<Properties xmlns="http://schemas.openxmlformats.org/officeDocument/2006/extended-properties" xmlns:vt="http://schemas.openxmlformats.org/officeDocument/2006/docPropsVTypes">
  <Template>PS_RRB20-3.dotm</Template>
  <TotalTime>1</TotalTime>
  <Pages>123</Pages>
  <Words>40441</Words>
  <Characters>221734</Characters>
  <Application>Microsoft Office Word</Application>
  <DocSecurity>4</DocSecurity>
  <Lines>1847</Lines>
  <Paragraphs>523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261652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GRUPO ASESOR DE RADIOCOMUNICACIONES</dc:subject>
  <dc:creator>Spanish83</dc:creator>
  <cp:keywords>RAG03-1</cp:keywords>
  <dc:description>PS_RRB.DOT  For: _x000d_Document date: _x000d_Saved by TRA44246 at 19:27:50 on 18.11.2008</dc:description>
  <cp:lastModifiedBy>Karine Gozal</cp:lastModifiedBy>
  <cp:revision>2</cp:revision>
  <cp:lastPrinted>1993-02-18T11:12:00Z</cp:lastPrinted>
  <dcterms:created xsi:type="dcterms:W3CDTF">2021-02-25T07:27:00Z</dcterms:created>
  <dcterms:modified xsi:type="dcterms:W3CDTF">2021-02-25T07:27:00Z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PS_RRB.DOT</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0x0101008CE43468486C0D408445654D9B6D046F</vt:lpwstr>
  </property>
</Properties>
</file>